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436C2">
      <w:pPr>
        <w:jc w:val="center"/>
        <w:rPr>
          <w:rFonts w:hint="eastAsia" w:ascii="宋体" w:hAnsi="宋体"/>
          <w:b/>
          <w:color w:val="000000" w:themeColor="text1"/>
          <w:sz w:val="72"/>
          <w14:textFill>
            <w14:solidFill>
              <w14:schemeClr w14:val="tx1"/>
            </w14:solidFill>
          </w14:textFill>
        </w:rPr>
      </w:pPr>
      <w:r>
        <w:rPr>
          <w:rFonts w:hint="eastAsia" w:ascii="宋体" w:hAnsi="宋体"/>
          <w:b/>
          <w:color w:val="000000" w:themeColor="text1"/>
          <w:sz w:val="72"/>
          <w14:textFill>
            <w14:solidFill>
              <w14:schemeClr w14:val="tx1"/>
            </w14:solidFill>
          </w14:textFill>
        </w:rPr>
        <w:t xml:space="preserve">厦 门 市 大 宗 货 物     </w:t>
      </w:r>
    </w:p>
    <w:p w14:paraId="64D6176D">
      <w:pPr>
        <w:jc w:val="center"/>
        <w:rPr>
          <w:rFonts w:hint="eastAsia" w:ascii="宋体" w:hAnsi="宋体"/>
          <w:b/>
          <w:color w:val="000000" w:themeColor="text1"/>
          <w:sz w:val="72"/>
          <w14:textFill>
            <w14:solidFill>
              <w14:schemeClr w14:val="tx1"/>
            </w14:solidFill>
          </w14:textFill>
        </w:rPr>
      </w:pPr>
      <w:r>
        <w:rPr>
          <w:rFonts w:hint="eastAsia" w:ascii="宋体" w:hAnsi="宋体"/>
          <w:b/>
          <w:color w:val="000000" w:themeColor="text1"/>
          <w:sz w:val="72"/>
          <w14:textFill>
            <w14:solidFill>
              <w14:schemeClr w14:val="tx1"/>
            </w14:solidFill>
          </w14:textFill>
        </w:rPr>
        <w:t>政 府 采 购 项</w:t>
      </w:r>
      <w:bookmarkStart w:id="49" w:name="_GoBack"/>
      <w:bookmarkEnd w:id="49"/>
      <w:r>
        <w:rPr>
          <w:rFonts w:hint="eastAsia" w:ascii="宋体" w:hAnsi="宋体"/>
          <w:b/>
          <w:color w:val="000000" w:themeColor="text1"/>
          <w:sz w:val="72"/>
          <w14:textFill>
            <w14:solidFill>
              <w14:schemeClr w14:val="tx1"/>
            </w14:solidFill>
          </w14:textFill>
        </w:rPr>
        <w:t xml:space="preserve"> 目 </w:t>
      </w:r>
    </w:p>
    <w:p w14:paraId="5C722612">
      <w:pPr>
        <w:spacing w:line="360" w:lineRule="auto"/>
        <w:jc w:val="center"/>
        <w:rPr>
          <w:rFonts w:hint="eastAsia" w:ascii="宋体" w:hAnsi="宋体"/>
          <w:b/>
          <w:color w:val="000000" w:themeColor="text1"/>
          <w:sz w:val="72"/>
          <w14:textFill>
            <w14:solidFill>
              <w14:schemeClr w14:val="tx1"/>
            </w14:solidFill>
          </w14:textFill>
        </w:rPr>
      </w:pPr>
      <w:r>
        <w:rPr>
          <w:rFonts w:hint="eastAsia" w:ascii="宋体" w:hAnsi="宋体"/>
          <w:b/>
          <w:color w:val="000000" w:themeColor="text1"/>
          <w:sz w:val="72"/>
          <w14:textFill>
            <w14:solidFill>
              <w14:schemeClr w14:val="tx1"/>
            </w14:solidFill>
          </w14:textFill>
        </w:rPr>
        <w:t>招   标   文   件</w:t>
      </w:r>
    </w:p>
    <w:p w14:paraId="6BFA1313">
      <w:pPr>
        <w:spacing w:line="360" w:lineRule="auto"/>
        <w:ind w:firstLine="1438" w:firstLineChars="398"/>
        <w:rPr>
          <w:rFonts w:hint="eastAsia" w:ascii="宋体" w:hAnsi="宋体"/>
          <w:b/>
          <w:color w:val="000000" w:themeColor="text1"/>
          <w:sz w:val="36"/>
          <w14:textFill>
            <w14:solidFill>
              <w14:schemeClr w14:val="tx1"/>
            </w14:solidFill>
          </w14:textFill>
        </w:rPr>
      </w:pPr>
    </w:p>
    <w:p w14:paraId="0DE6B81C">
      <w:pPr>
        <w:spacing w:line="360" w:lineRule="auto"/>
        <w:ind w:firstLine="1438" w:firstLineChars="398"/>
        <w:rPr>
          <w:rFonts w:hint="eastAsia" w:ascii="宋体" w:hAnsi="宋体"/>
          <w:b/>
          <w:color w:val="000000" w:themeColor="text1"/>
          <w:sz w:val="36"/>
          <w14:textFill>
            <w14:solidFill>
              <w14:schemeClr w14:val="tx1"/>
            </w14:solidFill>
          </w14:textFill>
        </w:rPr>
      </w:pPr>
    </w:p>
    <w:p w14:paraId="4DC05086">
      <w:pPr>
        <w:spacing w:line="360" w:lineRule="auto"/>
        <w:ind w:firstLine="1438" w:firstLineChars="398"/>
        <w:rPr>
          <w:rFonts w:hint="eastAsia" w:ascii="宋体" w:hAnsi="宋体"/>
          <w:b/>
          <w:color w:val="000000" w:themeColor="text1"/>
          <w:sz w:val="36"/>
          <w14:textFill>
            <w14:solidFill>
              <w14:schemeClr w14:val="tx1"/>
            </w14:solidFill>
          </w14:textFill>
        </w:rPr>
      </w:pPr>
    </w:p>
    <w:p w14:paraId="12F8BBF4">
      <w:pPr>
        <w:spacing w:line="360" w:lineRule="auto"/>
        <w:ind w:firstLine="1438" w:firstLineChars="398"/>
        <w:rPr>
          <w:rFonts w:hint="eastAsia" w:ascii="宋体" w:hAnsi="宋体"/>
          <w:b/>
          <w:color w:val="000000" w:themeColor="text1"/>
          <w:sz w:val="36"/>
          <w14:textFill>
            <w14:solidFill>
              <w14:schemeClr w14:val="tx1"/>
            </w14:solidFill>
          </w14:textFill>
        </w:rPr>
      </w:pPr>
    </w:p>
    <w:p w14:paraId="61F9EC33">
      <w:pPr>
        <w:spacing w:line="360" w:lineRule="auto"/>
        <w:ind w:firstLine="1438" w:firstLineChars="398"/>
        <w:rPr>
          <w:rFonts w:hint="eastAsia" w:ascii="宋体" w:hAnsi="宋体"/>
          <w:b/>
          <w:color w:val="000000" w:themeColor="text1"/>
          <w:sz w:val="36"/>
          <w:u w:val="single"/>
          <w14:textFill>
            <w14:solidFill>
              <w14:schemeClr w14:val="tx1"/>
            </w14:solidFill>
          </w14:textFill>
        </w:rPr>
      </w:pPr>
      <w:r>
        <w:rPr>
          <w:rFonts w:hint="eastAsia" w:ascii="宋体" w:hAnsi="宋体"/>
          <w:b/>
          <w:color w:val="000000" w:themeColor="text1"/>
          <w:sz w:val="36"/>
          <w14:textFill>
            <w14:solidFill>
              <w14:schemeClr w14:val="tx1"/>
            </w14:solidFill>
          </w14:textFill>
        </w:rPr>
        <w:t>招 标 编 号：</w:t>
      </w:r>
      <w:bookmarkStart w:id="0" w:name="OLE_LINK14"/>
      <w:r>
        <w:rPr>
          <w:rFonts w:hint="eastAsia" w:ascii="宋体" w:hAnsi="宋体"/>
          <w:b/>
          <w:color w:val="000000" w:themeColor="text1"/>
          <w:sz w:val="36"/>
          <w14:textFill>
            <w14:solidFill>
              <w14:schemeClr w14:val="tx1"/>
            </w14:solidFill>
          </w14:textFill>
        </w:rPr>
        <w:t>XM2026-DZ0025</w:t>
      </w:r>
      <w:bookmarkEnd w:id="0"/>
    </w:p>
    <w:p w14:paraId="08B4FF40">
      <w:pPr>
        <w:spacing w:line="360" w:lineRule="auto"/>
        <w:ind w:left="3948" w:leftChars="684" w:hanging="2512" w:hangingChars="695"/>
        <w:rPr>
          <w:rFonts w:hint="eastAsia" w:ascii="宋体" w:hAnsi="宋体"/>
          <w:b/>
          <w:color w:val="000000" w:themeColor="text1"/>
          <w:sz w:val="36"/>
          <w:u w:val="single"/>
          <w14:textFill>
            <w14:solidFill>
              <w14:schemeClr w14:val="tx1"/>
            </w14:solidFill>
          </w14:textFill>
        </w:rPr>
      </w:pPr>
      <w:r>
        <w:rPr>
          <w:rFonts w:hint="eastAsia" w:ascii="宋体" w:hAnsi="宋体"/>
          <w:b/>
          <w:color w:val="000000" w:themeColor="text1"/>
          <w:sz w:val="36"/>
          <w14:textFill>
            <w14:solidFill>
              <w14:schemeClr w14:val="tx1"/>
            </w14:solidFill>
          </w14:textFill>
        </w:rPr>
        <w:t>项 目 名 称：</w:t>
      </w:r>
      <w:bookmarkStart w:id="1" w:name="OLE_LINK22"/>
      <w:r>
        <w:rPr>
          <w:rFonts w:hint="eastAsia" w:ascii="宋体" w:hAnsi="宋体"/>
          <w:b/>
          <w:color w:val="000000" w:themeColor="text1"/>
          <w:sz w:val="36"/>
          <w14:textFill>
            <w14:solidFill>
              <w14:schemeClr w14:val="tx1"/>
            </w14:solidFill>
          </w14:textFill>
        </w:rPr>
        <w:t>厦门规划展览馆升级改造工程（LED采购）</w:t>
      </w:r>
      <w:bookmarkEnd w:id="1"/>
    </w:p>
    <w:p w14:paraId="4A88FFBF">
      <w:pPr>
        <w:spacing w:line="360" w:lineRule="auto"/>
        <w:ind w:firstLine="1438" w:firstLineChars="398"/>
        <w:rPr>
          <w:rFonts w:hint="eastAsia" w:ascii="宋体" w:hAnsi="宋体"/>
          <w:b/>
          <w:color w:val="000000" w:themeColor="text1"/>
          <w:sz w:val="36"/>
          <w14:textFill>
            <w14:solidFill>
              <w14:schemeClr w14:val="tx1"/>
            </w14:solidFill>
          </w14:textFill>
        </w:rPr>
      </w:pPr>
    </w:p>
    <w:p w14:paraId="7BE16536">
      <w:pPr>
        <w:spacing w:line="360" w:lineRule="auto"/>
        <w:ind w:firstLine="1438" w:firstLineChars="398"/>
        <w:rPr>
          <w:rFonts w:hint="eastAsia" w:ascii="宋体" w:hAnsi="宋体"/>
          <w:b/>
          <w:color w:val="000000" w:themeColor="text1"/>
          <w:sz w:val="36"/>
          <w14:textFill>
            <w14:solidFill>
              <w14:schemeClr w14:val="tx1"/>
            </w14:solidFill>
          </w14:textFill>
        </w:rPr>
      </w:pPr>
    </w:p>
    <w:p w14:paraId="20C45511">
      <w:pPr>
        <w:spacing w:line="360" w:lineRule="auto"/>
        <w:ind w:firstLine="1438" w:firstLineChars="398"/>
        <w:rPr>
          <w:rFonts w:hint="eastAsia" w:ascii="宋体" w:hAnsi="宋体"/>
          <w:b/>
          <w:color w:val="000000" w:themeColor="text1"/>
          <w:sz w:val="36"/>
          <w14:textFill>
            <w14:solidFill>
              <w14:schemeClr w14:val="tx1"/>
            </w14:solidFill>
          </w14:textFill>
        </w:rPr>
      </w:pPr>
    </w:p>
    <w:p w14:paraId="3DD711C9">
      <w:pPr>
        <w:spacing w:line="360" w:lineRule="auto"/>
        <w:ind w:firstLine="1438" w:firstLineChars="398"/>
        <w:rPr>
          <w:rFonts w:hint="eastAsia" w:ascii="宋体" w:hAnsi="宋体"/>
          <w:b/>
          <w:color w:val="000000" w:themeColor="text1"/>
          <w:sz w:val="36"/>
          <w14:textFill>
            <w14:solidFill>
              <w14:schemeClr w14:val="tx1"/>
            </w14:solidFill>
          </w14:textFill>
        </w:rPr>
      </w:pPr>
    </w:p>
    <w:p w14:paraId="394784E1">
      <w:pPr>
        <w:spacing w:line="360" w:lineRule="auto"/>
        <w:ind w:firstLine="1438" w:firstLineChars="398"/>
        <w:rPr>
          <w:rFonts w:hint="eastAsia" w:ascii="宋体" w:hAnsi="宋体"/>
          <w:b/>
          <w:color w:val="000000" w:themeColor="text1"/>
          <w:sz w:val="36"/>
          <w14:textFill>
            <w14:solidFill>
              <w14:schemeClr w14:val="tx1"/>
            </w14:solidFill>
          </w14:textFill>
        </w:rPr>
      </w:pPr>
    </w:p>
    <w:p w14:paraId="570D5657">
      <w:pPr>
        <w:pStyle w:val="5"/>
        <w:ind w:left="210" w:leftChars="100" w:firstLine="1084" w:firstLineChars="300"/>
        <w:jc w:val="left"/>
        <w:rPr>
          <w:rFonts w:hint="eastAsia" w:hAnsi="宋体" w:cs="宋体"/>
          <w:b/>
          <w:color w:val="000000" w:themeColor="text1"/>
          <w:spacing w:val="20"/>
          <w:sz w:val="32"/>
          <w14:textFill>
            <w14:solidFill>
              <w14:schemeClr w14:val="tx1"/>
            </w14:solidFill>
          </w14:textFill>
        </w:rPr>
      </w:pPr>
      <w:r>
        <w:rPr>
          <w:rFonts w:hint="eastAsia" w:hAnsi="宋体" w:cs="宋体"/>
          <w:b/>
          <w:color w:val="000000" w:themeColor="text1"/>
          <w:spacing w:val="20"/>
          <w:sz w:val="32"/>
          <w14:textFill>
            <w14:solidFill>
              <w14:schemeClr w14:val="tx1"/>
            </w14:solidFill>
          </w14:textFill>
        </w:rPr>
        <w:t>使用单位：</w:t>
      </w:r>
      <w:bookmarkStart w:id="2" w:name="OLE_LINK3"/>
      <w:r>
        <w:rPr>
          <w:rFonts w:hint="eastAsia" w:hAnsi="宋体" w:cs="宋体"/>
          <w:b/>
          <w:color w:val="000000" w:themeColor="text1"/>
          <w:spacing w:val="20"/>
          <w:sz w:val="32"/>
          <w14:textFill>
            <w14:solidFill>
              <w14:schemeClr w14:val="tx1"/>
            </w14:solidFill>
          </w14:textFill>
        </w:rPr>
        <w:t>厦门市国土空间和交通研究中心（厦门规划展览馆）</w:t>
      </w:r>
      <w:bookmarkEnd w:id="2"/>
    </w:p>
    <w:p w14:paraId="3E55CB91">
      <w:pPr>
        <w:pStyle w:val="5"/>
        <w:ind w:firstLine="1438" w:firstLineChars="398"/>
        <w:jc w:val="left"/>
        <w:rPr>
          <w:rFonts w:hint="eastAsia" w:hAnsi="宋体" w:cs="宋体"/>
          <w:b/>
          <w:bCs/>
          <w:color w:val="000000" w:themeColor="text1"/>
          <w:sz w:val="32"/>
          <w:u w:val="single"/>
          <w14:textFill>
            <w14:solidFill>
              <w14:schemeClr w14:val="tx1"/>
            </w14:solidFill>
          </w14:textFill>
        </w:rPr>
      </w:pPr>
      <w:r>
        <w:rPr>
          <w:rFonts w:hint="eastAsia" w:hAnsi="宋体" w:cs="宋体"/>
          <w:b/>
          <w:color w:val="000000" w:themeColor="text1"/>
          <w:spacing w:val="20"/>
          <w:sz w:val="32"/>
          <w14:textFill>
            <w14:solidFill>
              <w14:schemeClr w14:val="tx1"/>
            </w14:solidFill>
          </w14:textFill>
        </w:rPr>
        <w:t>采购单位：</w:t>
      </w:r>
      <w:r>
        <w:rPr>
          <w:rFonts w:hint="eastAsia" w:hAnsi="宋体" w:cs="宋体"/>
          <w:b/>
          <w:bCs/>
          <w:color w:val="000000" w:themeColor="text1"/>
          <w:sz w:val="32"/>
          <w14:textFill>
            <w14:solidFill>
              <w14:schemeClr w14:val="tx1"/>
            </w14:solidFill>
          </w14:textFill>
        </w:rPr>
        <w:t>厦门万翔网络商务有限公司</w:t>
      </w:r>
    </w:p>
    <w:p w14:paraId="2A31FA0F">
      <w:pPr>
        <w:pStyle w:val="5"/>
        <w:spacing w:line="360" w:lineRule="auto"/>
        <w:ind w:firstLine="1438" w:firstLineChars="398"/>
        <w:jc w:val="left"/>
        <w:rPr>
          <w:rFonts w:hint="eastAsia" w:hAnsi="宋体"/>
          <w:b/>
          <w:color w:val="000000" w:themeColor="text1"/>
          <w:sz w:val="28"/>
          <w14:textFill>
            <w14:solidFill>
              <w14:schemeClr w14:val="tx1"/>
            </w14:solidFill>
          </w14:textFill>
        </w:rPr>
      </w:pPr>
      <w:r>
        <w:rPr>
          <w:rFonts w:hint="eastAsia" w:hAnsi="宋体"/>
          <w:b/>
          <w:color w:val="000000" w:themeColor="text1"/>
          <w:spacing w:val="20"/>
          <w:sz w:val="32"/>
          <w14:textFill>
            <w14:solidFill>
              <w14:schemeClr w14:val="tx1"/>
            </w14:solidFill>
          </w14:textFill>
        </w:rPr>
        <w:t>招标代理机构：</w:t>
      </w:r>
      <w:r>
        <w:rPr>
          <w:rFonts w:hint="eastAsia" w:hAnsi="宋体"/>
          <w:b/>
          <w:bCs/>
          <w:color w:val="000000" w:themeColor="text1"/>
          <w:sz w:val="32"/>
          <w14:textFill>
            <w14:solidFill>
              <w14:schemeClr w14:val="tx1"/>
            </w14:solidFill>
          </w14:textFill>
        </w:rPr>
        <w:t>厦门万翔招标有限公司</w:t>
      </w:r>
      <w:r>
        <w:rPr>
          <w:rFonts w:hint="eastAsia" w:hAnsi="宋体"/>
          <w:b/>
          <w:color w:val="000000" w:themeColor="text1"/>
          <w:spacing w:val="20"/>
          <w:sz w:val="32"/>
          <w14:textFill>
            <w14:solidFill>
              <w14:schemeClr w14:val="tx1"/>
            </w14:solidFill>
          </w14:textFill>
        </w:rPr>
        <w:t xml:space="preserve"> </w:t>
      </w:r>
    </w:p>
    <w:p w14:paraId="3C848554">
      <w:pPr>
        <w:spacing w:line="360" w:lineRule="auto"/>
        <w:ind w:firstLine="1438" w:firstLineChars="398"/>
        <w:rPr>
          <w:rFonts w:hint="eastAsia" w:ascii="宋体" w:hAnsi="宋体"/>
          <w:b/>
          <w:color w:val="000000" w:themeColor="text1"/>
          <w:sz w:val="36"/>
          <w14:textFill>
            <w14:solidFill>
              <w14:schemeClr w14:val="tx1"/>
            </w14:solidFill>
          </w14:textFill>
        </w:rPr>
      </w:pPr>
    </w:p>
    <w:p w14:paraId="58495115">
      <w:pPr>
        <w:pStyle w:val="5"/>
        <w:spacing w:line="360" w:lineRule="auto"/>
        <w:jc w:val="center"/>
        <w:outlineLvl w:val="9"/>
        <w:rPr>
          <w:rFonts w:hint="eastAsia" w:hAnsi="宋体"/>
          <w:b/>
          <w:color w:val="000000" w:themeColor="text1"/>
          <w:sz w:val="32"/>
          <w14:textFill>
            <w14:solidFill>
              <w14:schemeClr w14:val="tx1"/>
            </w14:solidFill>
          </w14:textFill>
        </w:rPr>
      </w:pPr>
      <w:r>
        <w:rPr>
          <w:rFonts w:hint="eastAsia" w:hAnsi="宋体"/>
          <w:b/>
          <w:color w:val="000000" w:themeColor="text1"/>
          <w:sz w:val="32"/>
          <w14:textFill>
            <w14:solidFill>
              <w14:schemeClr w14:val="tx1"/>
            </w14:solidFill>
          </w14:textFill>
        </w:rPr>
        <w:t>2026年7月</w:t>
      </w:r>
    </w:p>
    <w:p w14:paraId="6431BE95">
      <w:pPr>
        <w:jc w:val="center"/>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关于政府采购信用贷款的提示</w:t>
      </w:r>
    </w:p>
    <w:p w14:paraId="740B318D">
      <w:pPr>
        <w:jc w:val="center"/>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（201608版）</w:t>
      </w:r>
    </w:p>
    <w:p w14:paraId="27DA37D3">
      <w:pPr>
        <w:rPr>
          <w:rFonts w:hint="eastAsia" w:ascii="宋体" w:hAnsi="宋体" w:cs="宋体"/>
          <w:color w:val="000000" w:themeColor="text1"/>
          <w:sz w:val="24"/>
          <w:szCs w:val="24"/>
          <w14:textFill>
            <w14:solidFill>
              <w14:schemeClr w14:val="tx1"/>
            </w14:solidFill>
          </w14:textFill>
        </w:rPr>
      </w:pPr>
    </w:p>
    <w:p w14:paraId="6002EDDF">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0FD1C834">
      <w:pPr>
        <w:spacing w:line="360" w:lineRule="auto"/>
        <w:ind w:firstLine="482" w:firstLineChars="200"/>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 xml:space="preserve">有关金融机构联系方式： </w:t>
      </w:r>
    </w:p>
    <w:p w14:paraId="52746D4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（一）中国建设银行厦门分行：</w:t>
      </w:r>
    </w:p>
    <w:p w14:paraId="0F55E80A">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联系人：魏慧媛   2158595 </w:t>
      </w:r>
    </w:p>
    <w:p w14:paraId="5215368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（二）中国光大银行厦门分行：</w:t>
      </w:r>
    </w:p>
    <w:p w14:paraId="099BCC4C">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联系人：陈  虹   2283776、13806013400；朱姗姗   2991131、18050082825</w:t>
      </w:r>
    </w:p>
    <w:p w14:paraId="3E97A1A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（三）兴业银行厦门分行</w:t>
      </w:r>
    </w:p>
    <w:p w14:paraId="41F97B31">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联系人：陈小姐  0592-5312509 13599531245 ；高经理  0592-5312350 13850017508 </w:t>
      </w:r>
    </w:p>
    <w:p w14:paraId="6E5529B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（四）厦门市担保有限公司：</w:t>
      </w:r>
    </w:p>
    <w:p w14:paraId="71B875F1">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联系人：陈文辉   5125116；吴龙辉   5120019</w:t>
      </w:r>
    </w:p>
    <w:p w14:paraId="22BCA29F">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（五）厦门银行股份有限公司 </w:t>
      </w:r>
    </w:p>
    <w:p w14:paraId="2908CD3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联系人：张冬梅 13395990009 ；陈韵 13656021986</w:t>
      </w:r>
    </w:p>
    <w:p w14:paraId="40A4C65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以上具体贷款事项，以贷款机构与贷款人最终签订的贷款合同约定为准，贷款人应进一步与贷款金融机构了解详细情况。任何单位和个人均不得干预银企双方开展政府采购信用贷款业务。</w:t>
      </w:r>
    </w:p>
    <w:p w14:paraId="7946E0ED">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本提示仅作为信息告知，具体贷款事宜以银行等有关金融机构审批为准。</w:t>
      </w:r>
    </w:p>
    <w:p w14:paraId="01FA642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5235E81F">
      <w:pPr>
        <w:spacing w:line="360" w:lineRule="auto"/>
        <w:rPr>
          <w:rFonts w:hint="eastAsia" w:ascii="宋体" w:hAnsi="宋体" w:cs="宋体"/>
          <w:color w:val="000000" w:themeColor="text1"/>
          <w:sz w:val="24"/>
          <w:szCs w:val="24"/>
          <w14:textFill>
            <w14:solidFill>
              <w14:schemeClr w14:val="tx1"/>
            </w14:solidFill>
          </w14:textFill>
        </w:rPr>
      </w:pPr>
    </w:p>
    <w:p w14:paraId="091B85DB">
      <w:pPr>
        <w:spacing w:line="360" w:lineRule="auto"/>
        <w:rPr>
          <w:rFonts w:hint="eastAsia" w:ascii="宋体" w:hAnsi="宋体" w:cs="宋体"/>
          <w:color w:val="000000" w:themeColor="text1"/>
          <w:sz w:val="24"/>
          <w:szCs w:val="24"/>
          <w14:textFill>
            <w14:solidFill>
              <w14:schemeClr w14:val="tx1"/>
            </w14:solidFill>
          </w14:textFill>
        </w:rPr>
      </w:pPr>
    </w:p>
    <w:p w14:paraId="7776EAAE">
      <w:pPr>
        <w:pStyle w:val="5"/>
        <w:spacing w:line="360" w:lineRule="auto"/>
        <w:jc w:val="center"/>
        <w:outlineLvl w:val="9"/>
        <w:rPr>
          <w:rFonts w:hint="eastAsia" w:hAnsi="宋体" w:cs="宋体"/>
          <w:b/>
          <w:bCs/>
          <w:color w:val="000000" w:themeColor="text1"/>
          <w:sz w:val="32"/>
          <w:szCs w:val="32"/>
          <w14:textFill>
            <w14:solidFill>
              <w14:schemeClr w14:val="tx1"/>
            </w14:solidFill>
          </w14:textFill>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hAnsi="宋体" w:cs="宋体"/>
          <w:b/>
          <w:bCs/>
          <w:color w:val="000000" w:themeColor="text1"/>
          <w:sz w:val="32"/>
          <w:szCs w:val="32"/>
          <w14:textFill>
            <w14:solidFill>
              <w14:schemeClr w14:val="tx1"/>
            </w14:solidFill>
          </w14:textFill>
        </w:rPr>
        <w:t xml:space="preserve">  </w:t>
      </w:r>
    </w:p>
    <w:p w14:paraId="6CF6A772">
      <w:pPr>
        <w:pStyle w:val="5"/>
        <w:spacing w:line="360" w:lineRule="auto"/>
        <w:jc w:val="center"/>
        <w:outlineLvl w:val="9"/>
        <w:rPr>
          <w:rFonts w:hint="eastAsia" w:hAnsi="宋体" w:cs="宋体"/>
          <w:b/>
          <w:bCs/>
          <w:color w:val="000000" w:themeColor="text1"/>
          <w:sz w:val="32"/>
          <w:szCs w:val="32"/>
          <w14:textFill>
            <w14:solidFill>
              <w14:schemeClr w14:val="tx1"/>
            </w14:solidFill>
          </w14:textFill>
        </w:rPr>
      </w:pPr>
      <w:r>
        <w:rPr>
          <w:rFonts w:hint="eastAsia" w:hAnsi="宋体" w:cs="宋体"/>
          <w:b/>
          <w:bCs/>
          <w:color w:val="000000" w:themeColor="text1"/>
          <w:sz w:val="32"/>
          <w:szCs w:val="32"/>
          <w14:textFill>
            <w14:solidFill>
              <w14:schemeClr w14:val="tx1"/>
            </w14:solidFill>
          </w14:textFill>
        </w:rPr>
        <w:t>目   录</w:t>
      </w:r>
    </w:p>
    <w:p w14:paraId="24007C86">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p>
    <w:p w14:paraId="3C82A52A">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第一章    投标邀请 …………………………………………………1</w:t>
      </w:r>
    </w:p>
    <w:p w14:paraId="0E81A97C">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投标邀请函……………………………………………………1-1</w:t>
      </w:r>
    </w:p>
    <w:p w14:paraId="32884D56">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第二章    投标人须知  ……………………………………………2</w:t>
      </w:r>
    </w:p>
    <w:p w14:paraId="2F7CDC66">
      <w:pPr>
        <w:spacing w:line="360" w:lineRule="auto"/>
        <w:ind w:firstLine="240" w:firstLineChars="100"/>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 xml:space="preserve">投标人须知前附表1、2、3、4 </w:t>
      </w:r>
      <w:r>
        <w:rPr>
          <w:rFonts w:hint="eastAsia" w:ascii="宋体" w:hAnsi="宋体" w:cs="宋体"/>
          <w:color w:val="000000" w:themeColor="text1"/>
          <w:sz w:val="24"/>
          <w:szCs w:val="24"/>
          <w14:textFill>
            <w14:solidFill>
              <w14:schemeClr w14:val="tx1"/>
            </w14:solidFill>
          </w14:textFill>
        </w:rPr>
        <w:t>……………………………………2-1-1</w:t>
      </w:r>
    </w:p>
    <w:p w14:paraId="66AC8BE5">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 说明 ………………………………………………………2-2-1</w:t>
      </w:r>
    </w:p>
    <w:p w14:paraId="06C49E8F">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 招标文件 ………………………………………………2-2-4</w:t>
      </w:r>
    </w:p>
    <w:p w14:paraId="315FD836">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 投标文件的编写 ………………………………………2-2-5</w:t>
      </w:r>
    </w:p>
    <w:p w14:paraId="47FC5EF0">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四、 投标文件的提交 …………………………………………2-2-8</w:t>
      </w:r>
    </w:p>
    <w:p w14:paraId="5F513723">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五、 投标文件的评估和比较 …………………………………2-2-9</w:t>
      </w:r>
    </w:p>
    <w:p w14:paraId="0148BEA0">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六、 定标与签订合同…………………………………………2-2-12</w:t>
      </w:r>
    </w:p>
    <w:p w14:paraId="1484AA73">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七、 意外情况的处理  ……………………………………  2-2-15</w:t>
      </w:r>
    </w:p>
    <w:p w14:paraId="6A95C106">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第三章    招标内容及要求  ……………………………………3-1</w:t>
      </w:r>
    </w:p>
    <w:p w14:paraId="511FD85B">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第四章    大宗采购合同…………………………………………4-1</w:t>
      </w:r>
    </w:p>
    <w:p w14:paraId="0FE883B6">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第五章    投标文件格式 …………………………………………5-1</w:t>
      </w:r>
    </w:p>
    <w:p w14:paraId="1294BB8F">
      <w:pPr>
        <w:pStyle w:val="2"/>
        <w:spacing w:line="360" w:lineRule="auto"/>
        <w:ind w:firstLine="2250" w:firstLineChars="934"/>
        <w:rPr>
          <w:rFonts w:hint="eastAsia" w:ascii="宋体" w:hAnsi="宋体" w:cs="宋体"/>
          <w:b/>
          <w:color w:val="000000" w:themeColor="text1"/>
          <w:sz w:val="24"/>
          <w:szCs w:val="24"/>
          <w:u w:val="single"/>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25B86F24">
      <w:pPr>
        <w:pStyle w:val="17"/>
        <w:spacing w:line="360" w:lineRule="auto"/>
        <w:jc w:val="center"/>
        <w:rPr>
          <w:rFonts w:hint="eastAsia" w:hAnsi="宋体" w:cs="宋体"/>
          <w:b/>
          <w:bCs/>
          <w:color w:val="000000" w:themeColor="text1"/>
          <w:sz w:val="32"/>
          <w:szCs w:val="32"/>
          <w14:textFill>
            <w14:solidFill>
              <w14:schemeClr w14:val="tx1"/>
            </w14:solidFill>
          </w14:textFill>
        </w:rPr>
      </w:pPr>
      <w:r>
        <w:rPr>
          <w:rFonts w:hint="eastAsia" w:hAnsi="宋体" w:cs="宋体"/>
          <w:b/>
          <w:color w:val="000000" w:themeColor="text1"/>
          <w:sz w:val="32"/>
          <w:szCs w:val="32"/>
          <w14:textFill>
            <w14:solidFill>
              <w14:schemeClr w14:val="tx1"/>
            </w14:solidFill>
          </w14:textFill>
        </w:rPr>
        <w:t>第一章  投标邀请函</w:t>
      </w:r>
    </w:p>
    <w:p w14:paraId="4A45CAA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受【</w:t>
      </w:r>
      <w:r>
        <w:rPr>
          <w:rFonts w:hint="eastAsia" w:ascii="宋体" w:hAnsi="宋体" w:cs="宋体"/>
          <w:b/>
          <w:color w:val="000000" w:themeColor="text1"/>
          <w:sz w:val="24"/>
          <w:szCs w:val="24"/>
          <w:u w:val="single"/>
          <w14:textFill>
            <w14:solidFill>
              <w14:schemeClr w14:val="tx1"/>
            </w14:solidFill>
          </w14:textFill>
        </w:rPr>
        <w:t>厦门万翔网络商务有限公司】</w:t>
      </w:r>
      <w:r>
        <w:rPr>
          <w:rFonts w:hint="eastAsia" w:ascii="宋体" w:hAnsi="宋体" w:cs="宋体"/>
          <w:color w:val="000000" w:themeColor="text1"/>
          <w:sz w:val="24"/>
          <w:szCs w:val="24"/>
          <w14:textFill>
            <w14:solidFill>
              <w14:schemeClr w14:val="tx1"/>
            </w14:solidFill>
          </w14:textFill>
        </w:rPr>
        <w:t>委托，</w:t>
      </w:r>
      <w:r>
        <w:rPr>
          <w:rFonts w:hint="eastAsia" w:ascii="宋体" w:hAnsi="宋体" w:cs="宋体"/>
          <w:b/>
          <w:color w:val="000000" w:themeColor="text1"/>
          <w:sz w:val="24"/>
          <w:szCs w:val="24"/>
          <w:u w:val="single"/>
          <w14:textFill>
            <w14:solidFill>
              <w14:schemeClr w14:val="tx1"/>
            </w14:solidFill>
          </w14:textFill>
        </w:rPr>
        <w:t>厦门万翔招标有限公司</w:t>
      </w:r>
      <w:r>
        <w:rPr>
          <w:rFonts w:hint="eastAsia" w:ascii="宋体" w:hAnsi="宋体" w:cs="宋体"/>
          <w:color w:val="000000" w:themeColor="text1"/>
          <w:sz w:val="24"/>
          <w:szCs w:val="24"/>
          <w14:textFill>
            <w14:solidFill>
              <w14:schemeClr w14:val="tx1"/>
            </w14:solidFill>
          </w14:textFill>
        </w:rPr>
        <w:t>对</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s="宋体"/>
          <w:b/>
          <w:bCs/>
          <w:color w:val="000000" w:themeColor="text1"/>
          <w:sz w:val="24"/>
          <w:szCs w:val="24"/>
          <w:u w:val="single"/>
          <w14:textFill>
            <w14:solidFill>
              <w14:schemeClr w14:val="tx1"/>
            </w14:solidFill>
          </w14:textFill>
        </w:rPr>
        <w:t>厦门规划展览馆升级改造工程（LED采购）</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货物（或服务）进行国内公开招标，现欢迎国内合格的投标人前来投标。</w:t>
      </w:r>
    </w:p>
    <w:p w14:paraId="66BB36BE">
      <w:pPr>
        <w:spacing w:line="360" w:lineRule="auto"/>
        <w:ind w:firstLine="480" w:firstLineChars="200"/>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1、招标编号：</w:t>
      </w:r>
      <w:r>
        <w:rPr>
          <w:rFonts w:hint="eastAsia" w:ascii="宋体" w:hAnsi="宋体" w:cs="宋体"/>
          <w:color w:val="000000" w:themeColor="text1"/>
          <w:sz w:val="24"/>
          <w:szCs w:val="24"/>
          <w:u w:val="single"/>
          <w14:textFill>
            <w14:solidFill>
              <w14:schemeClr w14:val="tx1"/>
            </w14:solidFill>
          </w14:textFill>
        </w:rPr>
        <w:t>XM2026-DZ0025。</w:t>
      </w:r>
    </w:p>
    <w:p w14:paraId="7C045CFE">
      <w:pPr>
        <w:spacing w:line="360" w:lineRule="auto"/>
        <w:ind w:firstLine="480" w:firstLineChars="200"/>
        <w:rPr>
          <w:rFonts w:hint="eastAsia" w:ascii="宋体" w:hAnsi="宋体" w:cs="宋体"/>
          <w:color w:val="000000" w:themeColor="text1"/>
          <w:spacing w:val="0"/>
          <w:sz w:val="24"/>
          <w:szCs w:val="24"/>
          <w14:textFill>
            <w14:solidFill>
              <w14:schemeClr w14:val="tx1"/>
            </w14:solidFill>
          </w14:textFill>
        </w:rPr>
      </w:pPr>
      <w:r>
        <w:rPr>
          <w:rFonts w:hint="eastAsia" w:ascii="宋体" w:hAnsi="宋体" w:cs="宋体"/>
          <w:color w:val="000000" w:themeColor="text1"/>
          <w:spacing w:val="0"/>
          <w:sz w:val="24"/>
          <w:szCs w:val="24"/>
          <w14:textFill>
            <w14:solidFill>
              <w14:schemeClr w14:val="tx1"/>
            </w14:solidFill>
          </w14:textFill>
        </w:rPr>
        <w:t>2、招标货物（服务）名称、数量及主要技术规格：见后</w:t>
      </w:r>
      <w:r>
        <w:rPr>
          <w:rFonts w:hint="eastAsia" w:ascii="宋体" w:hAnsi="宋体" w:cs="宋体"/>
          <w:color w:val="000000" w:themeColor="text1"/>
          <w:sz w:val="24"/>
          <w:szCs w:val="24"/>
          <w14:textFill>
            <w14:solidFill>
              <w14:schemeClr w14:val="tx1"/>
            </w14:solidFill>
          </w14:textFill>
        </w:rPr>
        <w:t>附招标货物（</w:t>
      </w:r>
      <w:r>
        <w:rPr>
          <w:rFonts w:hint="eastAsia" w:ascii="宋体" w:hAnsi="宋体" w:cs="宋体"/>
          <w:color w:val="000000" w:themeColor="text1"/>
          <w:spacing w:val="0"/>
          <w:sz w:val="24"/>
          <w:szCs w:val="24"/>
          <w14:textFill>
            <w14:solidFill>
              <w14:schemeClr w14:val="tx1"/>
            </w14:solidFill>
          </w14:textFill>
        </w:rPr>
        <w:t>服务）</w:t>
      </w:r>
      <w:r>
        <w:rPr>
          <w:rFonts w:hint="eastAsia" w:ascii="宋体" w:hAnsi="宋体" w:cs="宋体"/>
          <w:color w:val="000000" w:themeColor="text1"/>
          <w:sz w:val="24"/>
          <w:szCs w:val="24"/>
          <w14:textFill>
            <w14:solidFill>
              <w14:schemeClr w14:val="tx1"/>
            </w14:solidFill>
          </w14:textFill>
        </w:rPr>
        <w:t>一览表。</w:t>
      </w:r>
    </w:p>
    <w:p w14:paraId="3199A81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3、招标文件获取方式：</w:t>
      </w:r>
      <w:r>
        <w:rPr>
          <w:rFonts w:ascii="宋体" w:hAnsi="宋体" w:cs="宋体"/>
          <w:bCs/>
          <w:color w:val="000000" w:themeColor="text1"/>
          <w:sz w:val="24"/>
          <w:szCs w:val="24"/>
          <w14:textFill>
            <w14:solidFill>
              <w14:schemeClr w14:val="tx1"/>
            </w14:solidFill>
          </w14:textFill>
        </w:rPr>
        <w:t>2026年</w:t>
      </w:r>
      <w:r>
        <w:rPr>
          <w:rFonts w:hint="eastAsia" w:ascii="宋体" w:hAnsi="宋体" w:cs="宋体"/>
          <w:bCs/>
          <w:color w:val="000000" w:themeColor="text1"/>
          <w:sz w:val="24"/>
          <w:szCs w:val="24"/>
          <w:lang w:val="en-US" w:eastAsia="zh-CN"/>
          <w14:textFill>
            <w14:solidFill>
              <w14:schemeClr w14:val="tx1"/>
            </w14:solidFill>
          </w14:textFill>
        </w:rPr>
        <w:t>07</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23</w:t>
      </w:r>
      <w:r>
        <w:rPr>
          <w:rFonts w:hint="eastAsia" w:ascii="宋体" w:hAnsi="宋体" w:cs="宋体"/>
          <w:color w:val="000000" w:themeColor="text1"/>
          <w:sz w:val="24"/>
          <w:szCs w:val="24"/>
          <w14:textFill>
            <w14:solidFill>
              <w14:schemeClr w14:val="tx1"/>
            </w14:solidFill>
          </w14:textFill>
        </w:rPr>
        <w:t>日至</w:t>
      </w:r>
      <w:r>
        <w:rPr>
          <w:rFonts w:ascii="宋体" w:hAnsi="宋体" w:cs="宋体"/>
          <w:color w:val="000000" w:themeColor="text1"/>
          <w:sz w:val="24"/>
          <w:szCs w:val="24"/>
          <w14:textFill>
            <w14:solidFill>
              <w14:schemeClr w14:val="tx1"/>
            </w14:solidFill>
          </w14:textFill>
        </w:rPr>
        <w:t>2026年</w:t>
      </w:r>
      <w:r>
        <w:rPr>
          <w:rFonts w:hint="eastAsia" w:ascii="宋体" w:hAnsi="宋体" w:cs="宋体"/>
          <w:color w:val="000000" w:themeColor="text1"/>
          <w:sz w:val="24"/>
          <w:szCs w:val="24"/>
          <w:lang w:val="en-US" w:eastAsia="zh-CN"/>
          <w14:textFill>
            <w14:solidFill>
              <w14:schemeClr w14:val="tx1"/>
            </w14:solidFill>
          </w14:textFill>
        </w:rPr>
        <w:t>07</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30</w:t>
      </w:r>
      <w:r>
        <w:rPr>
          <w:rFonts w:hint="eastAsia" w:ascii="宋体" w:hAnsi="宋体" w:cs="宋体"/>
          <w:color w:val="000000" w:themeColor="text1"/>
          <w:sz w:val="24"/>
          <w:szCs w:val="24"/>
          <w14:textFill>
            <w14:solidFill>
              <w14:schemeClr w14:val="tx1"/>
            </w14:solidFill>
          </w14:textFill>
        </w:rPr>
        <w:t>日，有意向的供应商应在厦门招投标网（http://www.xmztb.com，下同）注册账号，登录后可免费在线浏览招标文件，完成缴费并下载招标文件后方具备投标资格。缴费仅支持在线扫码支付。</w:t>
      </w:r>
    </w:p>
    <w:p w14:paraId="246D7F7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A、供应商注册详见厦门招投标网－办事指南－操作手册—《供应商注册登记操作手册》</w:t>
      </w:r>
    </w:p>
    <w:p w14:paraId="4A61DD9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B、缴费及下载招标文件详见厦门招投标网－办事指南－操作手册—《供应商招标项目操作手册》</w:t>
      </w:r>
    </w:p>
    <w:p w14:paraId="04BBCDCE">
      <w:pPr>
        <w:pStyle w:val="5"/>
        <w:spacing w:line="360" w:lineRule="auto"/>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4、招标文件售价：每个合同包</w:t>
      </w:r>
      <w:r>
        <w:rPr>
          <w:rFonts w:hint="eastAsia" w:hAnsi="宋体" w:cs="宋体"/>
          <w:color w:val="000000" w:themeColor="text1"/>
          <w:sz w:val="24"/>
          <w:szCs w:val="24"/>
          <w:u w:val="single"/>
          <w14:textFill>
            <w14:solidFill>
              <w14:schemeClr w14:val="tx1"/>
            </w14:solidFill>
          </w14:textFill>
        </w:rPr>
        <w:t xml:space="preserve"> 0 </w:t>
      </w:r>
      <w:r>
        <w:rPr>
          <w:rFonts w:hint="eastAsia" w:hAnsi="宋体" w:cs="宋体"/>
          <w:color w:val="000000" w:themeColor="text1"/>
          <w:sz w:val="24"/>
          <w:szCs w:val="24"/>
          <w14:textFill>
            <w14:solidFill>
              <w14:schemeClr w14:val="tx1"/>
            </w14:solidFill>
          </w14:textFill>
        </w:rPr>
        <w:t>元人民币，售后不退。</w:t>
      </w:r>
    </w:p>
    <w:p w14:paraId="60DD4F1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5、投标截止时间：投标文件应于2026年</w:t>
      </w:r>
      <w:r>
        <w:rPr>
          <w:rFonts w:hint="eastAsia" w:ascii="宋体" w:hAnsi="宋体" w:cs="宋体"/>
          <w:color w:val="000000" w:themeColor="text1"/>
          <w:sz w:val="24"/>
          <w:szCs w:val="24"/>
          <w:lang w:val="en-US" w:eastAsia="zh-CN"/>
          <w14:textFill>
            <w14:solidFill>
              <w14:schemeClr w14:val="tx1"/>
            </w14:solidFill>
          </w14:textFill>
        </w:rPr>
        <w:t>08</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13</w:t>
      </w:r>
      <w:r>
        <w:rPr>
          <w:rFonts w:hint="eastAsia" w:ascii="宋体" w:hAnsi="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lang w:val="en-US" w:eastAsia="zh-CN"/>
          <w14:textFill>
            <w14:solidFill>
              <w14:schemeClr w14:val="tx1"/>
            </w14:solidFill>
          </w14:textFill>
        </w:rPr>
        <w:t>下</w:t>
      </w:r>
      <w:r>
        <w:rPr>
          <w:rFonts w:hint="eastAsia" w:ascii="宋体" w:hAnsi="宋体" w:cs="宋体"/>
          <w:color w:val="000000" w:themeColor="text1"/>
          <w:sz w:val="24"/>
          <w:szCs w:val="24"/>
          <w14:textFill>
            <w14:solidFill>
              <w14:schemeClr w14:val="tx1"/>
            </w14:solidFill>
          </w14:textFill>
        </w:rPr>
        <w:t>午</w:t>
      </w:r>
      <w:r>
        <w:rPr>
          <w:rFonts w:hint="eastAsia" w:ascii="宋体" w:hAnsi="宋体" w:cs="宋体"/>
          <w:color w:val="000000" w:themeColor="text1"/>
          <w:sz w:val="24"/>
          <w:szCs w:val="24"/>
          <w:lang w:val="en-US" w:eastAsia="zh-CN"/>
          <w14:textFill>
            <w14:solidFill>
              <w14:schemeClr w14:val="tx1"/>
            </w14:solidFill>
          </w14:textFill>
        </w:rPr>
        <w:t>13</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0（北京时间）之前登录厦门招投标网上传投标文件。已上传但未提示上传成功的投标无效。</w:t>
      </w:r>
    </w:p>
    <w:p w14:paraId="56E48B1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A、网上投标详见厦门招投标网－办事指南－操作手册—《供应商招标项目操作手册》。</w:t>
      </w:r>
    </w:p>
    <w:p w14:paraId="6894F02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B</w:t>
      </w:r>
      <w:r>
        <w:rPr>
          <w:rFonts w:hint="eastAsia" w:ascii="宋体" w:hAnsi="宋体" w:cs="宋体"/>
          <w:color w:val="000000" w:themeColor="text1"/>
          <w:sz w:val="24"/>
          <w:szCs w:val="24"/>
          <w14:textFill>
            <w14:solidFill>
              <w14:schemeClr w14:val="tx1"/>
            </w14:solidFill>
          </w14:textFill>
        </w:rPr>
        <w:t>、</w:t>
      </w:r>
      <w:r>
        <w:rPr>
          <w:rStyle w:val="14"/>
          <w:rFonts w:ascii="Helvetica" w:hAnsi="Helvetica" w:eastAsia="Helvetica" w:cs="Helvetica"/>
          <w:b w:val="0"/>
          <w:bCs w:val="0"/>
          <w:color w:val="000000" w:themeColor="text1"/>
          <w:sz w:val="24"/>
          <w:szCs w:val="24"/>
          <w:shd w:val="clear" w:color="auto" w:fill="FFFFFF"/>
          <w14:textFill>
            <w14:solidFill>
              <w14:schemeClr w14:val="tx1"/>
            </w14:solidFill>
          </w14:textFill>
        </w:rPr>
        <w:t>数字证书办理</w:t>
      </w:r>
      <w:r>
        <w:rPr>
          <w:rStyle w:val="14"/>
          <w:rFonts w:hint="eastAsia" w:ascii="Helvetica" w:hAnsi="Helvetica" w:cs="Helvetica"/>
          <w:b w:val="0"/>
          <w:bCs w:val="0"/>
          <w:color w:val="000000" w:themeColor="text1"/>
          <w:sz w:val="24"/>
          <w:szCs w:val="24"/>
          <w:shd w:val="clear" w:color="auto" w:fill="FFFFFF"/>
          <w14:textFill>
            <w14:solidFill>
              <w14:schemeClr w14:val="tx1"/>
            </w14:solidFill>
          </w14:textFill>
        </w:rPr>
        <w:t>详见</w:t>
      </w:r>
      <w:r>
        <w:rPr>
          <w:rFonts w:hint="eastAsia" w:ascii="宋体" w:hAnsi="宋体" w:cs="宋体"/>
          <w:color w:val="000000" w:themeColor="text1"/>
          <w:sz w:val="24"/>
          <w:szCs w:val="24"/>
          <w14:textFill>
            <w14:solidFill>
              <w14:schemeClr w14:val="tx1"/>
            </w14:solidFill>
          </w14:textFill>
        </w:rPr>
        <w:t>厦门招投标网－办事指南－操作手册—《投标流程》</w:t>
      </w:r>
    </w:p>
    <w:p w14:paraId="0E3F626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6、开标时间、地点:2026年</w:t>
      </w:r>
      <w:r>
        <w:rPr>
          <w:rFonts w:hint="eastAsia" w:ascii="宋体" w:hAnsi="宋体" w:cs="宋体"/>
          <w:color w:val="000000" w:themeColor="text1"/>
          <w:sz w:val="24"/>
          <w:szCs w:val="24"/>
          <w:lang w:val="en-US" w:eastAsia="zh-CN"/>
          <w14:textFill>
            <w14:solidFill>
              <w14:schemeClr w14:val="tx1"/>
            </w14:solidFill>
          </w14:textFill>
        </w:rPr>
        <w:t>08</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13</w:t>
      </w:r>
      <w:r>
        <w:rPr>
          <w:rFonts w:hint="eastAsia" w:ascii="宋体" w:hAnsi="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lang w:val="en-US" w:eastAsia="zh-CN"/>
          <w14:textFill>
            <w14:solidFill>
              <w14:schemeClr w14:val="tx1"/>
            </w14:solidFill>
          </w14:textFill>
        </w:rPr>
        <w:t>下</w:t>
      </w:r>
      <w:r>
        <w:rPr>
          <w:rFonts w:hint="eastAsia" w:ascii="宋体" w:hAnsi="宋体" w:cs="宋体"/>
          <w:color w:val="000000" w:themeColor="text1"/>
          <w:sz w:val="24"/>
          <w:szCs w:val="24"/>
          <w14:textFill>
            <w14:solidFill>
              <w14:schemeClr w14:val="tx1"/>
            </w14:solidFill>
          </w14:textFill>
        </w:rPr>
        <w:t>午</w:t>
      </w:r>
      <w:r>
        <w:rPr>
          <w:rFonts w:hint="eastAsia" w:ascii="宋体" w:hAnsi="宋体" w:cs="宋体"/>
          <w:color w:val="000000" w:themeColor="text1"/>
          <w:sz w:val="24"/>
          <w:szCs w:val="24"/>
          <w:lang w:val="en-US" w:eastAsia="zh-CN"/>
          <w14:textFill>
            <w14:solidFill>
              <w14:schemeClr w14:val="tx1"/>
            </w14:solidFill>
          </w14:textFill>
        </w:rPr>
        <w:t>13</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14:textFill>
            <w14:solidFill>
              <w14:schemeClr w14:val="tx1"/>
            </w14:solidFill>
          </w14:textFill>
        </w:rPr>
        <w:t>0（北京时间）于</w:t>
      </w:r>
      <w:r>
        <w:rPr>
          <w:rFonts w:hint="eastAsia" w:ascii="宋体" w:hAnsi="宋体" w:cs="宋体"/>
          <w:b/>
          <w:color w:val="000000" w:themeColor="text1"/>
          <w:sz w:val="24"/>
          <w:szCs w:val="24"/>
          <w:u w:val="single"/>
          <w14:textFill>
            <w14:solidFill>
              <w14:schemeClr w14:val="tx1"/>
            </w14:solidFill>
          </w14:textFill>
        </w:rPr>
        <w:t>厦门市湖里区云顶北路842号厦门市行政服务中心4楼C区开标室6（C404）</w:t>
      </w:r>
      <w:r>
        <w:rPr>
          <w:rFonts w:hint="eastAsia" w:ascii="宋体" w:hAnsi="宋体" w:cs="宋体"/>
          <w:color w:val="000000" w:themeColor="text1"/>
          <w:sz w:val="24"/>
          <w:szCs w:val="24"/>
          <w14:textFill>
            <w14:solidFill>
              <w14:schemeClr w14:val="tx1"/>
            </w14:solidFill>
          </w14:textFill>
        </w:rPr>
        <w:t>进行公开开标。投标人可登陆厦门招投标网查看开标全过程。</w:t>
      </w:r>
    </w:p>
    <w:p w14:paraId="6832C49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7、本项目不接受联合体投标。</w:t>
      </w:r>
    </w:p>
    <w:p w14:paraId="17D5739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A、接受联合体投标且投标人为联合体的，全部联合体组成成员都应在厦门招投标网注册账号。</w:t>
      </w:r>
    </w:p>
    <w:p w14:paraId="0201C7D2">
      <w:pPr>
        <w:spacing w:line="360" w:lineRule="auto"/>
        <w:ind w:firstLine="480" w:firstLineChars="200"/>
        <w:rPr>
          <w:rFonts w:hint="eastAsia" w:ascii="宋体" w:hAnsi="宋体" w:cs="宋体"/>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B、接受联合体投标且投标人为联合体的，投标人应由“联合体牵头方”完成系统设定的具体操作流程（包括但不限于：招标文件获取、提交投标保证金、编制电子投标文件等）。</w:t>
      </w:r>
    </w:p>
    <w:p w14:paraId="64D0A8C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8、招标文件如有变更，</w:t>
      </w:r>
      <w:r>
        <w:rPr>
          <w:rFonts w:hint="eastAsia" w:ascii="宋体" w:hAnsi="宋体" w:cs="宋体"/>
          <w:b/>
          <w:color w:val="000000" w:themeColor="text1"/>
          <w:sz w:val="24"/>
          <w:szCs w:val="24"/>
          <w:u w:val="single"/>
          <w14:textFill>
            <w14:solidFill>
              <w14:schemeClr w14:val="tx1"/>
            </w14:solidFill>
          </w14:textFill>
        </w:rPr>
        <w:t>厦门万翔招标有限公司</w:t>
      </w:r>
      <w:r>
        <w:rPr>
          <w:rFonts w:hint="eastAsia" w:ascii="宋体" w:hAnsi="宋体" w:cs="宋体"/>
          <w:bCs/>
          <w:color w:val="000000" w:themeColor="text1"/>
          <w:sz w:val="24"/>
          <w:szCs w:val="24"/>
          <w14:textFill>
            <w14:solidFill>
              <w14:schemeClr w14:val="tx1"/>
            </w14:solidFill>
          </w14:textFill>
        </w:rPr>
        <w:t>将通过福建省政府采购网、厦门招投标网等媒体发布通知信息，请投标人关注。</w:t>
      </w:r>
      <w:r>
        <w:rPr>
          <w:rFonts w:hint="eastAsia" w:ascii="宋体" w:hAnsi="宋体" w:cs="宋体"/>
          <w:color w:val="000000" w:themeColor="text1"/>
          <w:sz w:val="24"/>
          <w:szCs w:val="24"/>
          <w14:textFill>
            <w14:solidFill>
              <w14:schemeClr w14:val="tx1"/>
            </w14:solidFill>
          </w14:textFill>
        </w:rPr>
        <w:t>（请投标人在网上下载招标文件时，必须提供准确的电子邮箱、传真以及联系方式，电子网络系统将会自动发送相关信息，投标人收到相关信息后请回复确认）。</w:t>
      </w:r>
    </w:p>
    <w:p w14:paraId="07D164C2">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9、友情提醒：本项目全程采用网上招、投标方式进行采购，请各投标人必须按照有关规定要求在网上注册、</w:t>
      </w:r>
      <w:r>
        <w:rPr>
          <w:rStyle w:val="14"/>
          <w:rFonts w:ascii="Helvetica" w:hAnsi="Helvetica" w:eastAsia="Helvetica" w:cs="Helvetica"/>
          <w:color w:val="000000" w:themeColor="text1"/>
          <w:sz w:val="24"/>
          <w:szCs w:val="24"/>
          <w:shd w:val="clear" w:color="auto" w:fill="FFFFFF"/>
          <w14:textFill>
            <w14:solidFill>
              <w14:schemeClr w14:val="tx1"/>
            </w14:solidFill>
          </w14:textFill>
        </w:rPr>
        <w:t>需办理数字证书</w:t>
      </w:r>
      <w:r>
        <w:rPr>
          <w:rStyle w:val="14"/>
          <w:rFonts w:hint="eastAsia" w:ascii="Helvetica" w:hAnsi="Helvetica" w:cs="Helvetica"/>
          <w:color w:val="000000" w:themeColor="text1"/>
          <w:sz w:val="24"/>
          <w:szCs w:val="24"/>
          <w:shd w:val="clear" w:color="auto" w:fill="FFFFFF"/>
          <w14:textFill>
            <w14:solidFill>
              <w14:schemeClr w14:val="tx1"/>
            </w14:solidFill>
          </w14:textFill>
        </w:rPr>
        <w:t>、</w:t>
      </w:r>
      <w:r>
        <w:rPr>
          <w:rFonts w:hint="eastAsia" w:ascii="宋体" w:hAnsi="宋体" w:cs="宋体"/>
          <w:b/>
          <w:color w:val="000000" w:themeColor="text1"/>
          <w:sz w:val="24"/>
          <w:szCs w:val="24"/>
          <w14:textFill>
            <w14:solidFill>
              <w14:schemeClr w14:val="tx1"/>
            </w14:solidFill>
          </w14:textFill>
        </w:rPr>
        <w:t>购买招标文件和递交投标文件。</w:t>
      </w:r>
    </w:p>
    <w:p w14:paraId="55580BCA">
      <w:pPr>
        <w:tabs>
          <w:tab w:val="left" w:pos="114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10、各有关联系方式</w:t>
      </w:r>
    </w:p>
    <w:tbl>
      <w:tblPr>
        <w:tblStyle w:val="11"/>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3FFDEB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vAlign w:val="center"/>
          </w:tcPr>
          <w:p w14:paraId="44FF5FDF">
            <w:pPr>
              <w:spacing w:line="360" w:lineRule="auto"/>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序号</w:t>
            </w:r>
          </w:p>
        </w:tc>
        <w:tc>
          <w:tcPr>
            <w:tcW w:w="1409" w:type="dxa"/>
            <w:vAlign w:val="center"/>
          </w:tcPr>
          <w:p w14:paraId="35FCE9A8">
            <w:pPr>
              <w:spacing w:line="360" w:lineRule="auto"/>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分工</w:t>
            </w:r>
          </w:p>
        </w:tc>
        <w:tc>
          <w:tcPr>
            <w:tcW w:w="1097" w:type="dxa"/>
            <w:vAlign w:val="center"/>
          </w:tcPr>
          <w:p w14:paraId="2E276DC1">
            <w:pPr>
              <w:spacing w:line="360" w:lineRule="auto"/>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联系人</w:t>
            </w:r>
          </w:p>
        </w:tc>
        <w:tc>
          <w:tcPr>
            <w:tcW w:w="3190" w:type="dxa"/>
            <w:vAlign w:val="center"/>
          </w:tcPr>
          <w:p w14:paraId="42230558">
            <w:pPr>
              <w:spacing w:line="360" w:lineRule="auto"/>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职责范围</w:t>
            </w:r>
          </w:p>
        </w:tc>
        <w:tc>
          <w:tcPr>
            <w:tcW w:w="3276" w:type="dxa"/>
            <w:vAlign w:val="center"/>
          </w:tcPr>
          <w:p w14:paraId="18EF2349">
            <w:pPr>
              <w:spacing w:line="360" w:lineRule="auto"/>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联系电话</w:t>
            </w:r>
          </w:p>
        </w:tc>
      </w:tr>
      <w:tr w14:paraId="2409DB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73BA135C">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w:t>
            </w:r>
          </w:p>
        </w:tc>
        <w:tc>
          <w:tcPr>
            <w:tcW w:w="1409" w:type="dxa"/>
            <w:vAlign w:val="center"/>
          </w:tcPr>
          <w:p w14:paraId="30651EC5">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项目经办</w:t>
            </w:r>
          </w:p>
        </w:tc>
        <w:tc>
          <w:tcPr>
            <w:tcW w:w="1097" w:type="dxa"/>
            <w:vAlign w:val="center"/>
          </w:tcPr>
          <w:p w14:paraId="3237E0F6">
            <w:pPr>
              <w:spacing w:line="360" w:lineRule="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陈先生、陈小姐</w:t>
            </w:r>
          </w:p>
        </w:tc>
        <w:tc>
          <w:tcPr>
            <w:tcW w:w="3190" w:type="dxa"/>
            <w:vAlign w:val="center"/>
          </w:tcPr>
          <w:p w14:paraId="47330366">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负责招标文件的咨询、答疑等工作</w:t>
            </w:r>
          </w:p>
        </w:tc>
        <w:tc>
          <w:tcPr>
            <w:tcW w:w="3276" w:type="dxa"/>
            <w:vAlign w:val="center"/>
          </w:tcPr>
          <w:p w14:paraId="12F890D3">
            <w:pPr>
              <w:spacing w:line="360" w:lineRule="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0592-</w:t>
            </w:r>
            <w:r>
              <w:rPr>
                <w:rFonts w:hint="eastAsia" w:ascii="宋体" w:hAnsi="宋体" w:cs="宋体"/>
                <w:color w:val="000000" w:themeColor="text1"/>
                <w:sz w:val="24"/>
                <w:szCs w:val="24"/>
                <w:lang w:val="en-US" w:eastAsia="zh-CN"/>
                <w14:textFill>
                  <w14:solidFill>
                    <w14:schemeClr w14:val="tx1"/>
                  </w14:solidFill>
                </w14:textFill>
              </w:rPr>
              <w:t>5706826、2298129</w:t>
            </w:r>
          </w:p>
          <w:p w14:paraId="2C82B674">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传真0592-5706660-6969</w:t>
            </w:r>
          </w:p>
        </w:tc>
      </w:tr>
      <w:tr w14:paraId="429116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03434DE">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w:t>
            </w:r>
          </w:p>
        </w:tc>
        <w:tc>
          <w:tcPr>
            <w:tcW w:w="1409" w:type="dxa"/>
            <w:vAlign w:val="center"/>
          </w:tcPr>
          <w:p w14:paraId="3C08460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投标保证金</w:t>
            </w:r>
          </w:p>
        </w:tc>
        <w:tc>
          <w:tcPr>
            <w:tcW w:w="1097" w:type="dxa"/>
            <w:vAlign w:val="center"/>
          </w:tcPr>
          <w:p w14:paraId="5FB1BC56">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陈</w:t>
            </w:r>
            <w:r>
              <w:rPr>
                <w:rFonts w:hint="eastAsia" w:ascii="宋体" w:hAnsi="宋体" w:cs="宋体"/>
                <w:color w:val="000000" w:themeColor="text1"/>
                <w:sz w:val="24"/>
                <w:szCs w:val="24"/>
                <w14:textFill>
                  <w14:solidFill>
                    <w14:schemeClr w14:val="tx1"/>
                  </w14:solidFill>
                </w14:textFill>
              </w:rPr>
              <w:t>小姐</w:t>
            </w:r>
          </w:p>
        </w:tc>
        <w:tc>
          <w:tcPr>
            <w:tcW w:w="3190" w:type="dxa"/>
            <w:vAlign w:val="center"/>
          </w:tcPr>
          <w:p w14:paraId="0DDEEC5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投标保证金收、退</w:t>
            </w:r>
          </w:p>
        </w:tc>
        <w:tc>
          <w:tcPr>
            <w:tcW w:w="3276" w:type="dxa"/>
            <w:vAlign w:val="center"/>
          </w:tcPr>
          <w:p w14:paraId="33B3564B">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0592-5703367</w:t>
            </w:r>
          </w:p>
        </w:tc>
      </w:tr>
      <w:tr w14:paraId="3AFAF7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3707AB07">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w:t>
            </w:r>
          </w:p>
        </w:tc>
        <w:tc>
          <w:tcPr>
            <w:tcW w:w="1409" w:type="dxa"/>
            <w:vAlign w:val="center"/>
          </w:tcPr>
          <w:p w14:paraId="183071A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代理服务费</w:t>
            </w:r>
          </w:p>
        </w:tc>
        <w:tc>
          <w:tcPr>
            <w:tcW w:w="1097" w:type="dxa"/>
            <w:vAlign w:val="center"/>
          </w:tcPr>
          <w:p w14:paraId="7B829F3C">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陈小姐</w:t>
            </w:r>
          </w:p>
        </w:tc>
        <w:tc>
          <w:tcPr>
            <w:tcW w:w="3190" w:type="dxa"/>
            <w:vAlign w:val="center"/>
          </w:tcPr>
          <w:p w14:paraId="63837043">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代理服务费收取</w:t>
            </w:r>
          </w:p>
        </w:tc>
        <w:tc>
          <w:tcPr>
            <w:tcW w:w="3276" w:type="dxa"/>
            <w:vAlign w:val="center"/>
          </w:tcPr>
          <w:p w14:paraId="109BBE33">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0592-</w:t>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color w:val="000000" w:themeColor="text1"/>
                <w:kern w:val="0"/>
                <w:sz w:val="24"/>
                <w:szCs w:val="24"/>
                <w14:textFill>
                  <w14:solidFill>
                    <w14:schemeClr w14:val="tx1"/>
                  </w14:solidFill>
                </w14:textFill>
              </w:rPr>
              <w:t>5703367</w:t>
            </w:r>
          </w:p>
        </w:tc>
      </w:tr>
      <w:tr w14:paraId="0E8AB1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55221A16">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w:t>
            </w:r>
          </w:p>
        </w:tc>
        <w:tc>
          <w:tcPr>
            <w:tcW w:w="1409" w:type="dxa"/>
            <w:vAlign w:val="center"/>
          </w:tcPr>
          <w:p w14:paraId="7620875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监督</w:t>
            </w:r>
          </w:p>
        </w:tc>
        <w:tc>
          <w:tcPr>
            <w:tcW w:w="1097" w:type="dxa"/>
            <w:vAlign w:val="center"/>
          </w:tcPr>
          <w:p w14:paraId="42DE622C">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黄经理</w:t>
            </w:r>
          </w:p>
        </w:tc>
        <w:tc>
          <w:tcPr>
            <w:tcW w:w="3190" w:type="dxa"/>
            <w:vAlign w:val="center"/>
          </w:tcPr>
          <w:p w14:paraId="45FBBF9A">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欢迎投标人对项目采购过程中公告发布、招标文件购买、投标保证金缴交和退还、代理服务费收取、中标通知书发放等环节的服务进行监督。我们将竭诚为您提供最优质的服务。</w:t>
            </w:r>
          </w:p>
        </w:tc>
        <w:tc>
          <w:tcPr>
            <w:tcW w:w="3276" w:type="dxa"/>
            <w:vAlign w:val="center"/>
          </w:tcPr>
          <w:p w14:paraId="60220197">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0592-5705656</w:t>
            </w:r>
          </w:p>
        </w:tc>
      </w:tr>
      <w:tr w14:paraId="1E9DEC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2E4D00B1">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5</w:t>
            </w:r>
          </w:p>
        </w:tc>
        <w:tc>
          <w:tcPr>
            <w:tcW w:w="1409" w:type="dxa"/>
            <w:vAlign w:val="center"/>
          </w:tcPr>
          <w:p w14:paraId="0969542A">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接收质疑</w:t>
            </w:r>
          </w:p>
        </w:tc>
        <w:tc>
          <w:tcPr>
            <w:tcW w:w="1097" w:type="dxa"/>
            <w:vAlign w:val="center"/>
          </w:tcPr>
          <w:p w14:paraId="68FC1805">
            <w:pPr>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刘经理</w:t>
            </w:r>
          </w:p>
        </w:tc>
        <w:tc>
          <w:tcPr>
            <w:tcW w:w="3190" w:type="dxa"/>
            <w:vAlign w:val="center"/>
          </w:tcPr>
          <w:p w14:paraId="39748AB9">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负责接收质疑</w:t>
            </w:r>
          </w:p>
        </w:tc>
        <w:tc>
          <w:tcPr>
            <w:tcW w:w="3276" w:type="dxa"/>
            <w:vAlign w:val="center"/>
          </w:tcPr>
          <w:p w14:paraId="13B97FA4">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电话0592-2218761</w:t>
            </w:r>
          </w:p>
          <w:p w14:paraId="0F806544">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传真0592-5706660-6969</w:t>
            </w:r>
          </w:p>
          <w:p w14:paraId="5CBE139B">
            <w:pPr>
              <w:spacing w:line="360" w:lineRule="auto"/>
              <w:rPr>
                <w:rFonts w:hint="eastAsia" w:ascii="宋体" w:hAnsi="宋体" w:cs="宋体"/>
                <w:color w:val="000000" w:themeColor="text1"/>
                <w:sz w:val="24"/>
                <w:szCs w:val="24"/>
                <w14:textFill>
                  <w14:solidFill>
                    <w14:schemeClr w14:val="tx1"/>
                  </w14:solidFill>
                </w14:textFill>
              </w:rPr>
            </w:pPr>
            <w:r>
              <w:fldChar w:fldCharType="begin"/>
            </w:r>
            <w:r>
              <w:instrText xml:space="preserve"> HYPERLINK "mailto:邮箱hcq@iport.com.cn" </w:instrText>
            </w:r>
            <w:r>
              <w:fldChar w:fldCharType="separate"/>
            </w:r>
            <w:r>
              <w:rPr>
                <w:rFonts w:hint="eastAsia" w:ascii="宋体" w:hAnsi="宋体" w:cs="宋体"/>
                <w:color w:val="000000" w:themeColor="text1"/>
                <w:sz w:val="24"/>
                <w:szCs w:val="24"/>
                <w14:textFill>
                  <w14:solidFill>
                    <w14:schemeClr w14:val="tx1"/>
                  </w14:solidFill>
                </w14:textFill>
              </w:rPr>
              <w:t>邮箱lmf@iport.com.cn</w:t>
            </w:r>
            <w:r>
              <w:rPr>
                <w:rFonts w:hint="eastAsia" w:ascii="宋体" w:hAnsi="宋体" w:cs="宋体"/>
                <w:color w:val="000000" w:themeColor="text1"/>
                <w:sz w:val="24"/>
                <w:szCs w:val="24"/>
                <w14:textFill>
                  <w14:solidFill>
                    <w14:schemeClr w14:val="tx1"/>
                  </w14:solidFill>
                </w14:textFill>
              </w:rPr>
              <w:fldChar w:fldCharType="end"/>
            </w:r>
          </w:p>
          <w:p w14:paraId="07DE0D53">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通讯地址：厦门市湖里区机场北路476号4楼</w:t>
            </w:r>
          </w:p>
        </w:tc>
      </w:tr>
    </w:tbl>
    <w:p w14:paraId="07A84F21">
      <w:pPr>
        <w:tabs>
          <w:tab w:val="left" w:pos="114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11、投标保证金及代理服务费缴交账户：</w:t>
      </w:r>
    </w:p>
    <w:tbl>
      <w:tblPr>
        <w:tblStyle w:val="1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494B55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vAlign w:val="center"/>
          </w:tcPr>
          <w:p w14:paraId="10B54917">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类   别</w:t>
            </w:r>
          </w:p>
        </w:tc>
        <w:tc>
          <w:tcPr>
            <w:tcW w:w="3240" w:type="dxa"/>
            <w:vAlign w:val="center"/>
          </w:tcPr>
          <w:p w14:paraId="11797528">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投标保证金缴交账户</w:t>
            </w:r>
          </w:p>
        </w:tc>
        <w:tc>
          <w:tcPr>
            <w:tcW w:w="4602" w:type="dxa"/>
            <w:vAlign w:val="center"/>
          </w:tcPr>
          <w:p w14:paraId="36A22D93">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代理服务费缴交账户</w:t>
            </w:r>
          </w:p>
        </w:tc>
      </w:tr>
      <w:tr w14:paraId="65AD4F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vAlign w:val="center"/>
          </w:tcPr>
          <w:p w14:paraId="25FF5EE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 户 行</w:t>
            </w:r>
          </w:p>
        </w:tc>
        <w:tc>
          <w:tcPr>
            <w:tcW w:w="3240" w:type="dxa"/>
            <w:vAlign w:val="center"/>
          </w:tcPr>
          <w:p w14:paraId="2BA8C262">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p>
        </w:tc>
        <w:tc>
          <w:tcPr>
            <w:tcW w:w="4602" w:type="dxa"/>
            <w:vAlign w:val="center"/>
          </w:tcPr>
          <w:p w14:paraId="46669AF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中国建设银行股份有限公司厦门自贸试验区航空港支行</w:t>
            </w:r>
          </w:p>
        </w:tc>
      </w:tr>
      <w:tr w14:paraId="22313A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2D00BF8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    号</w:t>
            </w:r>
          </w:p>
        </w:tc>
        <w:tc>
          <w:tcPr>
            <w:tcW w:w="3240" w:type="dxa"/>
            <w:vAlign w:val="center"/>
          </w:tcPr>
          <w:p w14:paraId="19B92C4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p>
        </w:tc>
        <w:tc>
          <w:tcPr>
            <w:tcW w:w="4602" w:type="dxa"/>
            <w:vAlign w:val="center"/>
          </w:tcPr>
          <w:p w14:paraId="4F482BF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35101570201052504219</w:t>
            </w:r>
          </w:p>
        </w:tc>
      </w:tr>
      <w:tr w14:paraId="703445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725A3B6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户名</w:t>
            </w:r>
          </w:p>
        </w:tc>
        <w:tc>
          <w:tcPr>
            <w:tcW w:w="7842" w:type="dxa"/>
            <w:gridSpan w:val="2"/>
            <w:vAlign w:val="center"/>
          </w:tcPr>
          <w:p w14:paraId="5E27919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厦门万翔招标有限公司</w:t>
            </w:r>
          </w:p>
        </w:tc>
      </w:tr>
    </w:tbl>
    <w:p w14:paraId="5A73E548">
      <w:pPr>
        <w:tabs>
          <w:tab w:val="left" w:pos="114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4124F392">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注：投标人须将相关的费用缴交至上表对应的账号，缴错账号而产生的一切后果由投标人自行承担。</w:t>
      </w:r>
    </w:p>
    <w:p w14:paraId="68263647">
      <w:pPr>
        <w:numPr>
          <w:ilvl w:val="255"/>
          <w:numId w:val="0"/>
        </w:num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12、注意事项：</w:t>
      </w:r>
    </w:p>
    <w:p w14:paraId="0568DDA9">
      <w:pPr>
        <w:widowControl/>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项目中标供应商服务费发票将以邮件方式发送至购标指定邮箱。</w:t>
      </w:r>
    </w:p>
    <w:p w14:paraId="32F7E849">
      <w:pPr>
        <w:numPr>
          <w:ilvl w:val="255"/>
          <w:numId w:val="0"/>
        </w:numPr>
        <w:spacing w:line="360" w:lineRule="auto"/>
        <w:rPr>
          <w:rFonts w:hint="eastAsia" w:ascii="宋体" w:hAnsi="宋体" w:cs="宋体"/>
          <w:color w:val="000000" w:themeColor="text1"/>
          <w:sz w:val="24"/>
          <w:szCs w:val="24"/>
          <w14:textFill>
            <w14:solidFill>
              <w14:schemeClr w14:val="tx1"/>
            </w14:solidFill>
          </w14:textFill>
        </w:rPr>
      </w:pPr>
    </w:p>
    <w:p w14:paraId="0C1D2DF4">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招标代理机构：厦门万翔招标有限公司 </w:t>
      </w:r>
    </w:p>
    <w:p w14:paraId="24F65E96">
      <w:pPr>
        <w:spacing w:line="360" w:lineRule="auto"/>
        <w:ind w:firstLine="48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地  址：厦门市湖里区机场北路476号四楼 </w:t>
      </w:r>
    </w:p>
    <w:p w14:paraId="0EE7135F">
      <w:pPr>
        <w:tabs>
          <w:tab w:val="left" w:pos="2775"/>
        </w:tabs>
        <w:spacing w:line="360" w:lineRule="auto"/>
        <w:ind w:firstLine="48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  编： 361006</w:t>
      </w:r>
    </w:p>
    <w:p w14:paraId="6B1F14E5">
      <w:pPr>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合同款项事宜联系人：黄工</w:t>
      </w:r>
      <w:r>
        <w:rPr>
          <w:rFonts w:ascii="宋体" w:hAnsi="宋体" w:cs="宋体"/>
          <w:color w:val="000000" w:themeColor="text1"/>
          <w:sz w:val="24"/>
          <w:szCs w:val="24"/>
          <w14:textFill>
            <w14:solidFill>
              <w14:schemeClr w14:val="tx1"/>
            </w14:solidFill>
          </w14:textFill>
        </w:rPr>
        <w:t>0592</w:t>
      </w: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5777279</w:t>
      </w:r>
    </w:p>
    <w:p w14:paraId="5FB18088">
      <w:pPr>
        <w:tabs>
          <w:tab w:val="left" w:pos="2775"/>
        </w:tabs>
        <w:spacing w:line="360" w:lineRule="auto"/>
        <w:ind w:firstLine="480"/>
        <w:rPr>
          <w:rFonts w:hint="eastAsia" w:ascii="宋体" w:hAnsi="宋体" w:cs="宋体"/>
          <w:color w:val="000000" w:themeColor="text1"/>
          <w:sz w:val="24"/>
          <w:szCs w:val="24"/>
          <w14:textFill>
            <w14:solidFill>
              <w14:schemeClr w14:val="tx1"/>
            </w14:solidFill>
          </w14:textFill>
        </w:rPr>
      </w:pPr>
    </w:p>
    <w:p w14:paraId="3AF342B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p>
    <w:p w14:paraId="5578C6D6">
      <w:pPr>
        <w:spacing w:line="360" w:lineRule="auto"/>
        <w:rPr>
          <w:rFonts w:hint="eastAsia" w:ascii="宋体" w:hAnsi="宋体" w:cs="宋体"/>
          <w:color w:val="000000" w:themeColor="text1"/>
          <w:sz w:val="32"/>
          <w:szCs w:val="32"/>
          <w14:textFill>
            <w14:solidFill>
              <w14:schemeClr w14:val="tx1"/>
            </w14:solidFill>
          </w14:textFill>
        </w:rPr>
      </w:pPr>
    </w:p>
    <w:p w14:paraId="02759371">
      <w:pPr>
        <w:spacing w:line="360" w:lineRule="auto"/>
        <w:rPr>
          <w:rFonts w:hint="eastAsia" w:ascii="宋体" w:hAnsi="宋体" w:cs="宋体"/>
          <w:color w:val="000000" w:themeColor="text1"/>
          <w:sz w:val="32"/>
          <w:szCs w:val="32"/>
          <w14:textFill>
            <w14:solidFill>
              <w14:schemeClr w14:val="tx1"/>
            </w14:solidFill>
          </w14:textFill>
        </w:rPr>
      </w:pPr>
    </w:p>
    <w:p w14:paraId="3740C3F5">
      <w:pPr>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76C548AA">
      <w:pPr>
        <w:spacing w:line="360" w:lineRule="auto"/>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附：招标货物(服务)一览表</w:t>
      </w:r>
    </w:p>
    <w:p w14:paraId="1AE566C1">
      <w:pPr>
        <w:spacing w:line="360" w:lineRule="auto"/>
        <w:jc w:val="cente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招标货物（服务）一览表</w:t>
      </w:r>
    </w:p>
    <w:tbl>
      <w:tblPr>
        <w:tblStyle w:val="11"/>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027"/>
      </w:tblGrid>
      <w:tr w14:paraId="4D0A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26AB2B23">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合同包</w:t>
            </w:r>
          </w:p>
        </w:tc>
        <w:tc>
          <w:tcPr>
            <w:tcW w:w="952" w:type="dxa"/>
            <w:tcBorders>
              <w:top w:val="single" w:color="auto" w:sz="4" w:space="0"/>
              <w:left w:val="single" w:color="auto" w:sz="4" w:space="0"/>
              <w:bottom w:val="single" w:color="auto" w:sz="4" w:space="0"/>
              <w:right w:val="single" w:color="auto" w:sz="4" w:space="0"/>
            </w:tcBorders>
            <w:vAlign w:val="center"/>
          </w:tcPr>
          <w:p w14:paraId="59562115">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品目号</w:t>
            </w:r>
          </w:p>
        </w:tc>
        <w:tc>
          <w:tcPr>
            <w:tcW w:w="1716" w:type="dxa"/>
            <w:tcBorders>
              <w:top w:val="single" w:color="auto" w:sz="4" w:space="0"/>
              <w:left w:val="single" w:color="auto" w:sz="4" w:space="0"/>
              <w:bottom w:val="single" w:color="auto" w:sz="4" w:space="0"/>
              <w:right w:val="single" w:color="auto" w:sz="4" w:space="0"/>
            </w:tcBorders>
            <w:vAlign w:val="center"/>
          </w:tcPr>
          <w:p w14:paraId="0F58B514">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货物名称</w:t>
            </w:r>
          </w:p>
        </w:tc>
        <w:tc>
          <w:tcPr>
            <w:tcW w:w="900" w:type="dxa"/>
            <w:tcBorders>
              <w:top w:val="single" w:color="auto" w:sz="4" w:space="0"/>
              <w:left w:val="single" w:color="auto" w:sz="4" w:space="0"/>
              <w:bottom w:val="single" w:color="auto" w:sz="4" w:space="0"/>
              <w:right w:val="single" w:color="auto" w:sz="4" w:space="0"/>
            </w:tcBorders>
            <w:vAlign w:val="center"/>
          </w:tcPr>
          <w:p w14:paraId="47ACA863">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数量</w:t>
            </w:r>
          </w:p>
        </w:tc>
        <w:tc>
          <w:tcPr>
            <w:tcW w:w="1620" w:type="dxa"/>
            <w:tcBorders>
              <w:top w:val="single" w:color="auto" w:sz="4" w:space="0"/>
              <w:left w:val="single" w:color="auto" w:sz="4" w:space="0"/>
              <w:bottom w:val="single" w:color="auto" w:sz="4" w:space="0"/>
              <w:right w:val="single" w:color="auto" w:sz="4" w:space="0"/>
            </w:tcBorders>
            <w:vAlign w:val="center"/>
          </w:tcPr>
          <w:p w14:paraId="5C2F9452">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主要技术规格</w:t>
            </w:r>
          </w:p>
        </w:tc>
        <w:tc>
          <w:tcPr>
            <w:tcW w:w="1080" w:type="dxa"/>
            <w:tcBorders>
              <w:top w:val="single" w:color="auto" w:sz="4" w:space="0"/>
              <w:left w:val="single" w:color="auto" w:sz="4" w:space="0"/>
              <w:bottom w:val="single" w:color="auto" w:sz="4" w:space="0"/>
              <w:right w:val="single" w:color="auto" w:sz="4" w:space="0"/>
            </w:tcBorders>
            <w:vAlign w:val="center"/>
          </w:tcPr>
          <w:p w14:paraId="5169D1F1">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交货地点</w:t>
            </w:r>
          </w:p>
        </w:tc>
        <w:tc>
          <w:tcPr>
            <w:tcW w:w="2027" w:type="dxa"/>
            <w:tcBorders>
              <w:top w:val="single" w:color="auto" w:sz="4" w:space="0"/>
              <w:left w:val="single" w:color="auto" w:sz="4" w:space="0"/>
              <w:bottom w:val="single" w:color="auto" w:sz="4" w:space="0"/>
              <w:right w:val="single" w:color="auto" w:sz="4" w:space="0"/>
            </w:tcBorders>
            <w:vAlign w:val="center"/>
          </w:tcPr>
          <w:p w14:paraId="454632AA">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使用单位</w:t>
            </w:r>
          </w:p>
        </w:tc>
      </w:tr>
      <w:tr w14:paraId="4BC8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379A7E87">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XM2026 -DZ0025</w:t>
            </w:r>
          </w:p>
        </w:tc>
        <w:tc>
          <w:tcPr>
            <w:tcW w:w="952" w:type="dxa"/>
            <w:tcBorders>
              <w:top w:val="single" w:color="auto" w:sz="4" w:space="0"/>
              <w:left w:val="single" w:color="auto" w:sz="4" w:space="0"/>
              <w:bottom w:val="single" w:color="auto" w:sz="4" w:space="0"/>
              <w:right w:val="single" w:color="auto" w:sz="4" w:space="0"/>
            </w:tcBorders>
            <w:vAlign w:val="center"/>
          </w:tcPr>
          <w:p w14:paraId="68EC21A1">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1-1</w:t>
            </w:r>
          </w:p>
        </w:tc>
        <w:tc>
          <w:tcPr>
            <w:tcW w:w="1716" w:type="dxa"/>
            <w:tcBorders>
              <w:top w:val="single" w:color="auto" w:sz="4" w:space="0"/>
              <w:left w:val="single" w:color="auto" w:sz="4" w:space="0"/>
              <w:bottom w:val="single" w:color="auto" w:sz="4" w:space="0"/>
              <w:right w:val="single" w:color="auto" w:sz="4" w:space="0"/>
            </w:tcBorders>
            <w:vAlign w:val="center"/>
          </w:tcPr>
          <w:p w14:paraId="16897B35">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厦门规划展览馆升级改造工程（LED采购）</w:t>
            </w:r>
          </w:p>
        </w:tc>
        <w:tc>
          <w:tcPr>
            <w:tcW w:w="900" w:type="dxa"/>
            <w:tcBorders>
              <w:top w:val="single" w:color="auto" w:sz="4" w:space="0"/>
              <w:left w:val="single" w:color="auto" w:sz="4" w:space="0"/>
              <w:bottom w:val="single" w:color="auto" w:sz="4" w:space="0"/>
              <w:right w:val="single" w:color="auto" w:sz="4" w:space="0"/>
            </w:tcBorders>
            <w:vAlign w:val="center"/>
          </w:tcPr>
          <w:p w14:paraId="6E1BF623">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1批</w:t>
            </w:r>
          </w:p>
        </w:tc>
        <w:tc>
          <w:tcPr>
            <w:tcW w:w="1620" w:type="dxa"/>
            <w:tcBorders>
              <w:top w:val="single" w:color="auto" w:sz="4" w:space="0"/>
              <w:left w:val="single" w:color="auto" w:sz="4" w:space="0"/>
              <w:bottom w:val="single" w:color="auto" w:sz="4" w:space="0"/>
              <w:right w:val="single" w:color="auto" w:sz="4" w:space="0"/>
            </w:tcBorders>
            <w:vAlign w:val="center"/>
          </w:tcPr>
          <w:p w14:paraId="4DF47C63">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详见招标内容及要求</w:t>
            </w:r>
          </w:p>
        </w:tc>
        <w:tc>
          <w:tcPr>
            <w:tcW w:w="1080" w:type="dxa"/>
            <w:tcBorders>
              <w:top w:val="single" w:color="auto" w:sz="4" w:space="0"/>
              <w:left w:val="single" w:color="auto" w:sz="4" w:space="0"/>
              <w:bottom w:val="single" w:color="auto" w:sz="4" w:space="0"/>
              <w:right w:val="single" w:color="auto" w:sz="4" w:space="0"/>
            </w:tcBorders>
            <w:vAlign w:val="center"/>
          </w:tcPr>
          <w:p w14:paraId="07EC1759">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使用单位指定地点</w:t>
            </w:r>
          </w:p>
        </w:tc>
        <w:tc>
          <w:tcPr>
            <w:tcW w:w="2027" w:type="dxa"/>
            <w:tcBorders>
              <w:top w:val="single" w:color="auto" w:sz="4" w:space="0"/>
              <w:left w:val="single" w:color="auto" w:sz="4" w:space="0"/>
              <w:bottom w:val="single" w:color="auto" w:sz="4" w:space="0"/>
              <w:right w:val="single" w:color="auto" w:sz="4" w:space="0"/>
            </w:tcBorders>
            <w:vAlign w:val="center"/>
          </w:tcPr>
          <w:p w14:paraId="23924575">
            <w:pPr>
              <w:pStyle w:val="3"/>
              <w:tabs>
                <w:tab w:val="left" w:pos="8360"/>
              </w:tabs>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厦门市国土空间和交通研究中心（厦门规划展览馆）</w:t>
            </w:r>
          </w:p>
        </w:tc>
      </w:tr>
    </w:tbl>
    <w:p w14:paraId="3C460F7A">
      <w:pPr>
        <w:spacing w:line="360" w:lineRule="auto"/>
        <w:rPr>
          <w:rFonts w:hint="eastAsia" w:ascii="宋体" w:hAnsi="宋体" w:cs="宋体"/>
          <w:b/>
          <w:color w:val="000000" w:themeColor="text1"/>
          <w:sz w:val="32"/>
          <w:szCs w:val="32"/>
          <w14:textFill>
            <w14:solidFill>
              <w14:schemeClr w14:val="tx1"/>
            </w14:solidFill>
          </w14:textFill>
        </w:rPr>
      </w:pPr>
    </w:p>
    <w:p w14:paraId="7D3C4341">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注：投标人可按合同包投标，对同一合同包内所有品目号内容投标时必须完整。评标与授标以合同包为单位。</w:t>
      </w:r>
    </w:p>
    <w:p w14:paraId="404E1230">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4E055BDC">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22B6EF20">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25CF41F0">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6AF6C641">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6B349389">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594E2646">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188D0F4A">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565F0EF3">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7A6848E9">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6C066C6A">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5B120D4B">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04442E62">
      <w:pPr>
        <w:pStyle w:val="5"/>
        <w:tabs>
          <w:tab w:val="left" w:pos="8360"/>
        </w:tabs>
        <w:spacing w:line="360" w:lineRule="auto"/>
        <w:jc w:val="left"/>
        <w:rPr>
          <w:rFonts w:hint="eastAsia" w:hAnsi="宋体" w:cs="宋体"/>
          <w:color w:val="000000" w:themeColor="text1"/>
          <w:sz w:val="24"/>
          <w:szCs w:val="24"/>
          <w14:textFill>
            <w14:solidFill>
              <w14:schemeClr w14:val="tx1"/>
            </w14:solidFill>
          </w14:textFill>
        </w:rPr>
      </w:pPr>
    </w:p>
    <w:p w14:paraId="4DF865B4">
      <w:pPr>
        <w:pStyle w:val="2"/>
        <w:spacing w:line="360" w:lineRule="auto"/>
        <w:ind w:firstLine="0"/>
        <w:rPr>
          <w:rFonts w:hint="eastAsia" w:ascii="宋体" w:hAnsi="宋体" w:cs="宋体"/>
          <w:b/>
          <w:color w:val="000000" w:themeColor="text1"/>
          <w:sz w:val="24"/>
          <w:szCs w:val="24"/>
          <w14:textFill>
            <w14:solidFill>
              <w14:schemeClr w14:val="tx1"/>
            </w14:solidFill>
          </w14:textFill>
        </w:rPr>
        <w:sectPr>
          <w:footerReference r:id="rId6" w:type="default"/>
          <w:pgSz w:w="11906" w:h="16838"/>
          <w:pgMar w:top="1440" w:right="1106" w:bottom="1290" w:left="1800" w:header="851" w:footer="992" w:gutter="0"/>
          <w:pgNumType w:start="1"/>
          <w:cols w:space="720" w:num="1"/>
          <w:docGrid w:type="lines" w:linePitch="312" w:charSpace="0"/>
        </w:sectPr>
      </w:pPr>
    </w:p>
    <w:p w14:paraId="324F00A0">
      <w:pPr>
        <w:pStyle w:val="17"/>
        <w:spacing w:line="360" w:lineRule="auto"/>
        <w:jc w:val="center"/>
        <w:rPr>
          <w:rFonts w:hint="eastAsia" w:hAnsi="宋体" w:cs="宋体"/>
          <w:b/>
          <w:color w:val="000000" w:themeColor="text1"/>
          <w:sz w:val="32"/>
          <w:szCs w:val="32"/>
          <w14:textFill>
            <w14:solidFill>
              <w14:schemeClr w14:val="tx1"/>
            </w14:solidFill>
          </w14:textFill>
        </w:rPr>
      </w:pPr>
      <w:r>
        <w:rPr>
          <w:rFonts w:hint="eastAsia" w:hAnsi="宋体" w:cs="宋体"/>
          <w:b/>
          <w:color w:val="000000" w:themeColor="text1"/>
          <w:sz w:val="32"/>
          <w:szCs w:val="32"/>
          <w14:textFill>
            <w14:solidFill>
              <w14:schemeClr w14:val="tx1"/>
            </w14:solidFill>
          </w14:textFill>
        </w:rPr>
        <w:t>第二章  投标人须知</w:t>
      </w:r>
    </w:p>
    <w:p w14:paraId="5E80ACF8">
      <w:pPr>
        <w:pStyle w:val="17"/>
        <w:spacing w:line="360" w:lineRule="auto"/>
        <w:jc w:val="center"/>
        <w:rPr>
          <w:rFonts w:hint="eastAsia" w:hAnsi="宋体" w:cs="宋体"/>
          <w:color w:val="000000" w:themeColor="text1"/>
          <w:sz w:val="32"/>
          <w:szCs w:val="32"/>
          <w14:textFill>
            <w14:solidFill>
              <w14:schemeClr w14:val="tx1"/>
            </w14:solidFill>
          </w14:textFill>
        </w:rPr>
      </w:pPr>
      <w:r>
        <w:rPr>
          <w:rFonts w:hint="eastAsia" w:hAnsi="宋体" w:cs="宋体"/>
          <w:b/>
          <w:color w:val="000000" w:themeColor="text1"/>
          <w:sz w:val="32"/>
          <w:szCs w:val="32"/>
          <w14:textFill>
            <w14:solidFill>
              <w14:schemeClr w14:val="tx1"/>
            </w14:solidFill>
          </w14:textFill>
        </w:rPr>
        <w:t>投标人须知前附表1</w:t>
      </w:r>
    </w:p>
    <w:p w14:paraId="019973D8">
      <w:pPr>
        <w:spacing w:line="360" w:lineRule="auto"/>
        <w:ind w:firstLine="527"/>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本须知前附表1的条款号是与</w:t>
      </w:r>
      <w:r>
        <w:rPr>
          <w:rFonts w:ascii="宋体" w:hAnsi="宋体" w:cs="宋体"/>
          <w:color w:val="000000" w:themeColor="text1"/>
          <w:sz w:val="24"/>
          <w:szCs w:val="24"/>
          <w14:textFill>
            <w14:solidFill>
              <w14:schemeClr w14:val="tx1"/>
            </w14:solidFill>
          </w14:textFill>
        </w:rPr>
        <w:t>固定部分第二章</w:t>
      </w:r>
      <w:r>
        <w:rPr>
          <w:rFonts w:hint="eastAsia" w:ascii="宋体" w:hAnsi="宋体" w:cs="宋体"/>
          <w:color w:val="000000" w:themeColor="text1"/>
          <w:sz w:val="24"/>
          <w:szCs w:val="24"/>
          <w14:textFill>
            <w14:solidFill>
              <w14:schemeClr w14:val="tx1"/>
            </w14:solidFill>
          </w14:textFill>
        </w:rPr>
        <w:t xml:space="preserve">《投标人须知》中条款的项号相对应的。如有矛盾，应以本须知前附表为准。 </w:t>
      </w:r>
    </w:p>
    <w:tbl>
      <w:tblPr>
        <w:tblStyle w:val="1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49F3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tcPr>
          <w:p w14:paraId="3BFB730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项号</w:t>
            </w:r>
          </w:p>
        </w:tc>
        <w:tc>
          <w:tcPr>
            <w:tcW w:w="1080" w:type="dxa"/>
          </w:tcPr>
          <w:p w14:paraId="4B7876A4">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条款号</w:t>
            </w:r>
          </w:p>
        </w:tc>
        <w:tc>
          <w:tcPr>
            <w:tcW w:w="7380" w:type="dxa"/>
          </w:tcPr>
          <w:p w14:paraId="290FBBB6">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编   列   内    容</w:t>
            </w:r>
          </w:p>
        </w:tc>
      </w:tr>
      <w:tr w14:paraId="1F4B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68B7682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080" w:type="dxa"/>
            <w:vAlign w:val="center"/>
          </w:tcPr>
          <w:p w14:paraId="05E6FF8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w:t>
            </w:r>
          </w:p>
        </w:tc>
        <w:tc>
          <w:tcPr>
            <w:tcW w:w="7380" w:type="dxa"/>
            <w:vAlign w:val="center"/>
          </w:tcPr>
          <w:p w14:paraId="7F075E8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项目名称： 厦门规划展览馆升级改造工程（LED采购）</w:t>
            </w:r>
          </w:p>
          <w:p w14:paraId="7AE44206">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采购单位名称：厦门万翔网络商务有限公司</w:t>
            </w:r>
          </w:p>
          <w:p w14:paraId="2979FAC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采购单位地址：厦门市湖里区机场北路476号五楼 </w:t>
            </w:r>
          </w:p>
          <w:p w14:paraId="7B6C75F2">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项目内容： 厦门规划展览馆升级改造工程（LED采购）</w:t>
            </w:r>
          </w:p>
          <w:p w14:paraId="38E677ED">
            <w:pPr>
              <w:spacing w:line="360" w:lineRule="auto"/>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项目编号：XM2026-DZ0025</w:t>
            </w:r>
          </w:p>
          <w:p w14:paraId="1B12CAB8">
            <w:pPr>
              <w:spacing w:line="360" w:lineRule="auto"/>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采购预算：人民币</w:t>
            </w:r>
            <w:r>
              <w:rPr>
                <w:rFonts w:ascii="宋体" w:hAnsi="宋体" w:cs="宋体"/>
                <w:color w:val="000000" w:themeColor="text1"/>
                <w:sz w:val="24"/>
                <w:szCs w:val="24"/>
                <w14:textFill>
                  <w14:solidFill>
                    <w14:schemeClr w14:val="tx1"/>
                  </w14:solidFill>
                </w14:textFill>
              </w:rPr>
              <w:t>975.7346</w:t>
            </w:r>
            <w:r>
              <w:rPr>
                <w:rFonts w:hint="eastAsia" w:ascii="宋体" w:hAnsi="宋体" w:cs="宋体"/>
                <w:color w:val="000000" w:themeColor="text1"/>
                <w:sz w:val="24"/>
                <w:szCs w:val="24"/>
                <w14:textFill>
                  <w14:solidFill>
                    <w14:schemeClr w14:val="tx1"/>
                  </w14:solidFill>
                </w14:textFill>
              </w:rPr>
              <w:t>万元整</w:t>
            </w:r>
          </w:p>
        </w:tc>
      </w:tr>
      <w:tr w14:paraId="0A6C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vAlign w:val="center"/>
          </w:tcPr>
          <w:p w14:paraId="21E592E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1080" w:type="dxa"/>
            <w:vAlign w:val="center"/>
          </w:tcPr>
          <w:p w14:paraId="656C349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7380" w:type="dxa"/>
            <w:vAlign w:val="center"/>
          </w:tcPr>
          <w:p w14:paraId="606193F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资格标准：</w:t>
            </w:r>
          </w:p>
          <w:p w14:paraId="3A38822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详见第二章《投标人须知》第3条，以及第三章《招标内容及要求》有关内容。</w:t>
            </w:r>
          </w:p>
        </w:tc>
      </w:tr>
      <w:tr w14:paraId="192C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147EDB8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1080" w:type="dxa"/>
            <w:vAlign w:val="center"/>
          </w:tcPr>
          <w:p w14:paraId="62978CF1">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11.1</w:t>
            </w:r>
          </w:p>
        </w:tc>
        <w:tc>
          <w:tcPr>
            <w:tcW w:w="7380" w:type="dxa"/>
            <w:vAlign w:val="center"/>
          </w:tcPr>
          <w:p w14:paraId="368594CA">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投标有效期：投标截止之日起</w:t>
            </w:r>
            <w:r>
              <w:rPr>
                <w:rFonts w:hint="eastAsia" w:ascii="宋体" w:hAnsi="宋体" w:cs="宋体"/>
                <w:color w:val="000000" w:themeColor="text1"/>
                <w:sz w:val="24"/>
                <w:szCs w:val="24"/>
                <w:u w:val="single"/>
                <w14:textFill>
                  <w14:solidFill>
                    <w14:schemeClr w14:val="tx1"/>
                  </w14:solidFill>
                </w14:textFill>
              </w:rPr>
              <w:t>90</w:t>
            </w:r>
            <w:r>
              <w:rPr>
                <w:rFonts w:hint="eastAsia" w:ascii="宋体" w:hAnsi="宋体" w:cs="宋体"/>
                <w:color w:val="000000" w:themeColor="text1"/>
                <w:sz w:val="24"/>
                <w:szCs w:val="24"/>
                <w14:textFill>
                  <w14:solidFill>
                    <w14:schemeClr w14:val="tx1"/>
                  </w14:solidFill>
                </w14:textFill>
              </w:rPr>
              <w:t>个日历日。</w:t>
            </w:r>
          </w:p>
          <w:p w14:paraId="2F09FBC4">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有效期不足将导致其投标文件被拒绝。</w:t>
            </w:r>
          </w:p>
        </w:tc>
      </w:tr>
      <w:tr w14:paraId="663B1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02EBD96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w:t>
            </w:r>
          </w:p>
        </w:tc>
        <w:tc>
          <w:tcPr>
            <w:tcW w:w="1080" w:type="dxa"/>
            <w:vAlign w:val="center"/>
          </w:tcPr>
          <w:p w14:paraId="22CAEC07">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w:t>
            </w:r>
          </w:p>
        </w:tc>
        <w:tc>
          <w:tcPr>
            <w:tcW w:w="7380" w:type="dxa"/>
            <w:vAlign w:val="center"/>
          </w:tcPr>
          <w:p w14:paraId="39E2D11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投标保证金：</w:t>
            </w:r>
            <w:r>
              <w:rPr>
                <w:rFonts w:hint="eastAsia" w:ascii="宋体" w:hAnsi="宋体" w:cs="宋体"/>
                <w:color w:val="000000" w:themeColor="text1"/>
                <w:sz w:val="24"/>
                <w:szCs w:val="24"/>
                <w:u w:val="single"/>
                <w14:textFill>
                  <w14:solidFill>
                    <w14:schemeClr w14:val="tx1"/>
                  </w14:solidFill>
                </w14:textFill>
              </w:rPr>
              <w:t xml:space="preserve">    0元      </w:t>
            </w:r>
          </w:p>
          <w:p w14:paraId="2BF46F2E">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①投标保证金以转账、电汇两种形式提交（不收取现金、现金支票，不能用个人卡在银联支付系统转账，否则作未提交投标保证金处理）。</w:t>
            </w:r>
          </w:p>
          <w:p w14:paraId="5154B5A2">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②若项目存在分合同包采购的，则投标保证金应按不同的合同包号分别提交。</w:t>
            </w:r>
          </w:p>
          <w:p w14:paraId="65BB9A9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③经评审，若所有采购标的均为中小企业（含个体工商户）制造的货物，或者监狱企业提供本单位制造的货物；或者残疾人福利性单位提供本单位制造的货物（或提供其他残疾人福利性单位制造的货物），投标保证金全免交纳。全免交纳投标保证金的投标人应按照招标文件格式要求在投标文件中提供《中小企业声明函》。</w:t>
            </w:r>
          </w:p>
          <w:p w14:paraId="7DAADFE8">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④</w:t>
            </w:r>
            <w:r>
              <w:rPr>
                <w:rFonts w:hint="eastAsia" w:ascii="宋体" w:hAnsi="宋体" w:cs="宋体"/>
                <w:color w:val="000000" w:themeColor="text1"/>
                <w:kern w:val="0"/>
                <w:sz w:val="24"/>
                <w:szCs w:val="24"/>
                <w14:textFill>
                  <w14:solidFill>
                    <w14:schemeClr w14:val="tx1"/>
                  </w14:solidFill>
                </w14:textFill>
              </w:rPr>
              <w:t>投标保证金应在投标截止时间前到账。</w:t>
            </w:r>
          </w:p>
          <w:p w14:paraId="19188F44">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未按前述规定缴交投标保证金的，投标无效。</w:t>
            </w:r>
          </w:p>
          <w:p w14:paraId="7DE8A59E">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⑤投标保证金按投标人缴交账号原路退回，遇投标人账号变更、非投标保证金款项误转进投标保证金专户等特殊情况确实无法原路退回的，需经同级政府采购监管部门核实后方可退回。</w:t>
            </w:r>
          </w:p>
        </w:tc>
      </w:tr>
      <w:tr w14:paraId="23A2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270B6592">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w:t>
            </w:r>
          </w:p>
        </w:tc>
        <w:tc>
          <w:tcPr>
            <w:tcW w:w="1080" w:type="dxa"/>
            <w:vAlign w:val="center"/>
          </w:tcPr>
          <w:p w14:paraId="1FF69A71">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19.1</w:t>
            </w:r>
          </w:p>
        </w:tc>
        <w:tc>
          <w:tcPr>
            <w:tcW w:w="7380" w:type="dxa"/>
            <w:vAlign w:val="center"/>
          </w:tcPr>
          <w:p w14:paraId="137B4DD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评标方法、标准及定标原则(含推荐中标候选供应商数量)：</w:t>
            </w:r>
          </w:p>
          <w:p w14:paraId="5329CBD8">
            <w:pPr>
              <w:pStyle w:val="5"/>
              <w:spacing w:line="360" w:lineRule="auto"/>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详见《投标人须知前附表3》。</w:t>
            </w:r>
          </w:p>
        </w:tc>
      </w:tr>
      <w:tr w14:paraId="2DE1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77B7B6D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p>
        </w:tc>
        <w:tc>
          <w:tcPr>
            <w:tcW w:w="1080" w:type="dxa"/>
            <w:vAlign w:val="center"/>
          </w:tcPr>
          <w:p w14:paraId="06891B40">
            <w:pPr>
              <w:spacing w:line="360" w:lineRule="auto"/>
              <w:ind w:right="-63" w:rightChars="-3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12.9</w:t>
            </w:r>
          </w:p>
        </w:tc>
        <w:tc>
          <w:tcPr>
            <w:tcW w:w="7380" w:type="dxa"/>
            <w:vAlign w:val="center"/>
          </w:tcPr>
          <w:p w14:paraId="6FEC284E">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代理服务费：</w:t>
            </w:r>
          </w:p>
          <w:p w14:paraId="5EA090EB">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1、代理服务费收费标准：</w:t>
            </w:r>
          </w:p>
          <w:tbl>
            <w:tblPr>
              <w:tblStyle w:val="1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6EF1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21" w:type="dxa"/>
                </w:tcPr>
                <w:p w14:paraId="20EFDA75">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中标金额(万元)</w:t>
                  </w:r>
                </w:p>
              </w:tc>
              <w:tc>
                <w:tcPr>
                  <w:tcW w:w="2700" w:type="dxa"/>
                </w:tcPr>
                <w:p w14:paraId="6312B04B">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费率</w:t>
                  </w:r>
                </w:p>
              </w:tc>
            </w:tr>
            <w:tr w14:paraId="4E46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73AB2BB">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[0―100]</w:t>
                  </w:r>
                </w:p>
              </w:tc>
              <w:tc>
                <w:tcPr>
                  <w:tcW w:w="2700" w:type="dxa"/>
                </w:tcPr>
                <w:p w14:paraId="4C2A8DFD">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w:t>
                  </w:r>
                </w:p>
              </w:tc>
            </w:tr>
            <w:tr w14:paraId="58934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330E85A">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（100－500]</w:t>
                  </w:r>
                </w:p>
              </w:tc>
              <w:tc>
                <w:tcPr>
                  <w:tcW w:w="2700" w:type="dxa"/>
                </w:tcPr>
                <w:p w14:paraId="16A203D7">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w:t>
                  </w:r>
                </w:p>
              </w:tc>
            </w:tr>
            <w:tr w14:paraId="68BA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B550286">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（500-1000]</w:t>
                  </w:r>
                </w:p>
              </w:tc>
              <w:tc>
                <w:tcPr>
                  <w:tcW w:w="2700" w:type="dxa"/>
                </w:tcPr>
                <w:p w14:paraId="339420E8">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0.8%</w:t>
                  </w:r>
                </w:p>
              </w:tc>
            </w:tr>
            <w:tr w14:paraId="2BA1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C484B42">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（1000-5000]</w:t>
                  </w:r>
                </w:p>
              </w:tc>
              <w:tc>
                <w:tcPr>
                  <w:tcW w:w="2700" w:type="dxa"/>
                </w:tcPr>
                <w:p w14:paraId="59B584F6">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0.5%</w:t>
                  </w:r>
                </w:p>
              </w:tc>
            </w:tr>
            <w:tr w14:paraId="2F83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F969553">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（5000-10000]</w:t>
                  </w:r>
                </w:p>
              </w:tc>
              <w:tc>
                <w:tcPr>
                  <w:tcW w:w="2700" w:type="dxa"/>
                </w:tcPr>
                <w:p w14:paraId="608349A5">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0.25%</w:t>
                  </w:r>
                </w:p>
              </w:tc>
            </w:tr>
            <w:tr w14:paraId="2470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9875548">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（10000-50000]</w:t>
                  </w:r>
                </w:p>
              </w:tc>
              <w:tc>
                <w:tcPr>
                  <w:tcW w:w="2700" w:type="dxa"/>
                </w:tcPr>
                <w:p w14:paraId="7D92A847">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0.05%</w:t>
                  </w:r>
                </w:p>
              </w:tc>
            </w:tr>
            <w:tr w14:paraId="332C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41D6424">
                  <w:pPr>
                    <w:adjustRightInd w:val="0"/>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（50000-100000]</w:t>
                  </w:r>
                </w:p>
              </w:tc>
              <w:tc>
                <w:tcPr>
                  <w:tcW w:w="2700" w:type="dxa"/>
                </w:tcPr>
                <w:p w14:paraId="1F6E0D1D">
                  <w:pPr>
                    <w:adjustRightInd w:val="0"/>
                    <w:snapToGrid w:val="0"/>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0.035%</w:t>
                  </w:r>
                </w:p>
              </w:tc>
            </w:tr>
          </w:tbl>
          <w:p w14:paraId="1C681FD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注：1、代理服务费的收取按差额定率累进法计算,由中标供应商支付。</w:t>
            </w:r>
          </w:p>
          <w:p w14:paraId="6625FB37">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2、中标供应商以转账或汇款方式提交。</w:t>
            </w:r>
          </w:p>
          <w:p w14:paraId="7513514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经评审，若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5B61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2C26A4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p>
        </w:tc>
        <w:tc>
          <w:tcPr>
            <w:tcW w:w="1080" w:type="dxa"/>
            <w:tcBorders>
              <w:top w:val="single" w:color="auto" w:sz="4" w:space="0"/>
              <w:left w:val="single" w:color="auto" w:sz="4" w:space="0"/>
              <w:bottom w:val="single" w:color="auto" w:sz="4" w:space="0"/>
              <w:right w:val="single" w:color="auto" w:sz="4" w:space="0"/>
            </w:tcBorders>
            <w:vAlign w:val="center"/>
          </w:tcPr>
          <w:p w14:paraId="16281DAB">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7380" w:type="dxa"/>
            <w:tcBorders>
              <w:top w:val="single" w:color="auto" w:sz="4" w:space="0"/>
              <w:left w:val="single" w:color="auto" w:sz="4" w:space="0"/>
              <w:bottom w:val="single" w:color="auto" w:sz="4" w:space="0"/>
              <w:right w:val="single" w:color="auto" w:sz="4" w:space="0"/>
            </w:tcBorders>
            <w:vAlign w:val="center"/>
          </w:tcPr>
          <w:p w14:paraId="4C7AEAA0">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监督管理部门：厦门市财政局0592-2858291。</w:t>
            </w:r>
          </w:p>
        </w:tc>
      </w:tr>
      <w:tr w14:paraId="2583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43E4CE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w:t>
            </w:r>
          </w:p>
        </w:tc>
        <w:tc>
          <w:tcPr>
            <w:tcW w:w="1080" w:type="dxa"/>
            <w:tcBorders>
              <w:top w:val="single" w:color="auto" w:sz="4" w:space="0"/>
              <w:left w:val="single" w:color="auto" w:sz="4" w:space="0"/>
              <w:bottom w:val="single" w:color="auto" w:sz="4" w:space="0"/>
              <w:right w:val="single" w:color="auto" w:sz="4" w:space="0"/>
            </w:tcBorders>
            <w:vAlign w:val="center"/>
          </w:tcPr>
          <w:p w14:paraId="5A198148">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7380" w:type="dxa"/>
            <w:tcBorders>
              <w:top w:val="single" w:color="auto" w:sz="4" w:space="0"/>
              <w:left w:val="single" w:color="auto" w:sz="4" w:space="0"/>
              <w:bottom w:val="single" w:color="auto" w:sz="4" w:space="0"/>
              <w:right w:val="single" w:color="auto" w:sz="4" w:space="0"/>
            </w:tcBorders>
            <w:vAlign w:val="center"/>
          </w:tcPr>
          <w:p w14:paraId="6205E276">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是否允许进口产品参加本采购项目：</w:t>
            </w:r>
            <w:r>
              <w:rPr>
                <w:rFonts w:hint="eastAsia" w:ascii="宋体" w:hAnsi="宋体" w:cs="宋体"/>
                <w:b/>
                <w:color w:val="000000" w:themeColor="text1"/>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 xml:space="preserve">是/ </w:t>
            </w:r>
            <w:r>
              <w:rPr>
                <w:rFonts w:hint="eastAsia" w:ascii="宋体" w:hAnsi="宋体" w:cs="宋体"/>
                <w:color w:val="000000" w:themeColor="text1"/>
                <w:sz w:val="24"/>
                <w:szCs w:val="24"/>
                <w14:textFill>
                  <w14:solidFill>
                    <w14:schemeClr w14:val="tx1"/>
                  </w14:solidFill>
                </w14:textFill>
              </w:rPr>
              <w:fldChar w:fldCharType="begin"/>
            </w:r>
            <w:r>
              <w:rPr>
                <w:rFonts w:hint="eastAsia" w:ascii="宋体" w:hAnsi="宋体" w:cs="宋体"/>
                <w:color w:val="000000" w:themeColor="text1"/>
                <w:sz w:val="24"/>
                <w:szCs w:val="24"/>
                <w14:textFill>
                  <w14:solidFill>
                    <w14:schemeClr w14:val="tx1"/>
                  </w14:solidFill>
                </w14:textFill>
              </w:rPr>
              <w:instrText xml:space="preserve"> eq \o\ac(</w:instrText>
            </w:r>
            <w:r>
              <w:rPr>
                <w:rFonts w:hint="eastAsia" w:ascii="宋体" w:hAnsi="宋体" w:cs="宋体"/>
                <w:color w:val="000000" w:themeColor="text1"/>
                <w:position w:val="-4"/>
                <w:sz w:val="36"/>
                <w:szCs w:val="24"/>
                <w14:textFill>
                  <w14:solidFill>
                    <w14:schemeClr w14:val="tx1"/>
                  </w14:solidFill>
                </w14:textFill>
              </w:rPr>
              <w:instrText xml:space="preserve">□</w:instrText>
            </w:r>
            <w:r>
              <w:rPr>
                <w:rFonts w:hint="eastAsia" w:ascii="宋体" w:hAnsi="宋体" w:cs="宋体"/>
                <w:color w:val="000000" w:themeColor="text1"/>
                <w:sz w:val="24"/>
                <w:szCs w:val="24"/>
                <w14:textFill>
                  <w14:solidFill>
                    <w14:schemeClr w14:val="tx1"/>
                  </w14:solidFill>
                </w14:textFill>
              </w:rPr>
              <w:instrText xml:space="preserve">,√)</w:instrText>
            </w:r>
            <w:r>
              <w:rPr>
                <w:rFonts w:hint="eastAsia" w:ascii="宋体" w:hAnsi="宋体" w:cs="宋体"/>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否</w:t>
            </w:r>
          </w:p>
        </w:tc>
      </w:tr>
      <w:tr w14:paraId="1A67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6D5209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w:t>
            </w:r>
          </w:p>
        </w:tc>
        <w:tc>
          <w:tcPr>
            <w:tcW w:w="1080" w:type="dxa"/>
            <w:tcBorders>
              <w:top w:val="single" w:color="auto" w:sz="4" w:space="0"/>
              <w:left w:val="single" w:color="auto" w:sz="4" w:space="0"/>
              <w:bottom w:val="single" w:color="auto" w:sz="4" w:space="0"/>
              <w:right w:val="single" w:color="auto" w:sz="4" w:space="0"/>
            </w:tcBorders>
            <w:vAlign w:val="center"/>
          </w:tcPr>
          <w:p w14:paraId="19B26EE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7380" w:type="dxa"/>
            <w:tcBorders>
              <w:top w:val="single" w:color="auto" w:sz="4" w:space="0"/>
              <w:left w:val="single" w:color="auto" w:sz="4" w:space="0"/>
              <w:bottom w:val="single" w:color="auto" w:sz="4" w:space="0"/>
              <w:right w:val="single" w:color="auto" w:sz="4" w:space="0"/>
            </w:tcBorders>
            <w:vAlign w:val="center"/>
          </w:tcPr>
          <w:p w14:paraId="6C964489">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1、关于证明材料或资料：</w:t>
            </w:r>
          </w:p>
          <w:p w14:paraId="36BCEA15">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65DE9928">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b.若投标人提供注明“复印件无效”或“复印无效”的证明材料或资料，应结合上文a条款进行判定，若招标文件未要求投标人提供原件，投标人提供原件，复印件（含扫描件）均视为满足招标文件要求。</w:t>
            </w:r>
          </w:p>
          <w:p w14:paraId="685CDFB9">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2、关于“全称”、“投标人代表签字”及“加盖单位公章”：</w:t>
            </w:r>
          </w:p>
          <w:p w14:paraId="523C0BB7">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a.在电子投标文件中，涉及“全称”和“投标人代表签字”的内容可使用打字录入方式完成。</w:t>
            </w:r>
          </w:p>
          <w:p w14:paraId="1B2C992A">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b.在电子投标文件中，涉及“加盖单位公章”的内容应使用投标人的CA证书完成，否则投标无效。</w:t>
            </w:r>
          </w:p>
          <w:p w14:paraId="3173686E">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c.在电子投标文件中，若投标人按照第b项规定加盖其单位公章，则出现无全称、或投标人代表未签字等情形，不视为投标无效。</w:t>
            </w:r>
          </w:p>
          <w:p w14:paraId="12398F8B">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3、关于投标截止时间过后，有下列情形之一的，其投标无效,其保证金不予退还：</w:t>
            </w:r>
          </w:p>
          <w:p w14:paraId="5FF20FA2">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a.不同投标人的电子投标文件具有相同内部识别码；</w:t>
            </w:r>
          </w:p>
          <w:p w14:paraId="46F5AEC7">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b.投标人的投标保证金同一采购包下有其他投标人提交的投标保证金；</w:t>
            </w:r>
          </w:p>
          <w:p w14:paraId="4A59E85E">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c.不同投标人存在串通投标的其他情形。</w:t>
            </w:r>
          </w:p>
          <w:p w14:paraId="6ABDDCEE">
            <w:pPr>
              <w:spacing w:line="360" w:lineRule="auto"/>
              <w:rPr>
                <w:rFonts w:hint="eastAsia" w:ascii="宋体" w:hAnsi="宋体" w:cs="宋体"/>
                <w:color w:val="000000" w:themeColor="text1"/>
                <w:sz w:val="24"/>
                <w:szCs w:val="24"/>
                <w14:textFill>
                  <w14:solidFill>
                    <w14:schemeClr w14:val="tx1"/>
                  </w14:solidFill>
                </w14:textFill>
              </w:rPr>
            </w:pPr>
          </w:p>
        </w:tc>
      </w:tr>
    </w:tbl>
    <w:p w14:paraId="7521AED9">
      <w:pPr>
        <w:tabs>
          <w:tab w:val="left" w:pos="-1080"/>
          <w:tab w:val="left" w:pos="180"/>
          <w:tab w:val="left" w:pos="1080"/>
        </w:tabs>
        <w:spacing w:line="360" w:lineRule="auto"/>
        <w:rPr>
          <w:rFonts w:hint="eastAsia" w:ascii="宋体" w:hAnsi="宋体" w:cs="宋体"/>
          <w:b/>
          <w:color w:val="000000" w:themeColor="text1"/>
          <w:sz w:val="24"/>
          <w:szCs w:val="24"/>
          <w14:textFill>
            <w14:solidFill>
              <w14:schemeClr w14:val="tx1"/>
            </w14:solidFill>
          </w14:textFill>
        </w:rPr>
      </w:pPr>
    </w:p>
    <w:p w14:paraId="48AF9A4E">
      <w:pPr>
        <w:spacing w:line="360" w:lineRule="auto"/>
        <w:jc w:val="center"/>
        <w:rPr>
          <w:rFonts w:hint="eastAsia" w:ascii="宋体" w:hAnsi="宋体" w:cs="宋体"/>
          <w:b/>
          <w:bCs/>
          <w:color w:val="000000" w:themeColor="text1"/>
          <w:sz w:val="24"/>
          <w:szCs w:val="24"/>
          <w:u w:val="single"/>
          <w14:textFill>
            <w14:solidFill>
              <w14:schemeClr w14:val="tx1"/>
            </w14:solidFill>
          </w14:textFill>
        </w:rPr>
      </w:pPr>
    </w:p>
    <w:p w14:paraId="6898C855">
      <w:pPr>
        <w:spacing w:line="360" w:lineRule="auto"/>
        <w:jc w:val="center"/>
        <w:rPr>
          <w:rFonts w:hint="eastAsia" w:ascii="宋体" w:hAnsi="宋体" w:cs="宋体"/>
          <w:b/>
          <w:bCs/>
          <w:color w:val="000000" w:themeColor="text1"/>
          <w:sz w:val="24"/>
          <w:szCs w:val="24"/>
          <w:u w:val="single"/>
          <w14:textFill>
            <w14:solidFill>
              <w14:schemeClr w14:val="tx1"/>
            </w14:solidFill>
          </w14:textFill>
        </w:rPr>
      </w:pPr>
    </w:p>
    <w:p w14:paraId="7DD2CCAD">
      <w:pPr>
        <w:spacing w:line="360" w:lineRule="auto"/>
        <w:jc w:val="center"/>
        <w:rPr>
          <w:rFonts w:hint="eastAsia" w:ascii="宋体" w:hAnsi="宋体" w:cs="宋体"/>
          <w:b/>
          <w:bCs/>
          <w:color w:val="000000" w:themeColor="text1"/>
          <w:sz w:val="24"/>
          <w:szCs w:val="24"/>
          <w:u w:val="single"/>
          <w14:textFill>
            <w14:solidFill>
              <w14:schemeClr w14:val="tx1"/>
            </w14:solidFill>
          </w14:textFill>
        </w:rPr>
      </w:pPr>
    </w:p>
    <w:p w14:paraId="6FA38B14">
      <w:pPr>
        <w:spacing w:line="360" w:lineRule="auto"/>
        <w:jc w:val="center"/>
        <w:rPr>
          <w:rFonts w:hint="eastAsia" w:ascii="宋体" w:hAnsi="宋体" w:cs="宋体"/>
          <w:b/>
          <w:bCs/>
          <w:color w:val="000000" w:themeColor="text1"/>
          <w:sz w:val="24"/>
          <w:szCs w:val="24"/>
          <w:u w:val="single"/>
          <w14:textFill>
            <w14:solidFill>
              <w14:schemeClr w14:val="tx1"/>
            </w14:solidFill>
          </w14:textFill>
        </w:rPr>
      </w:pPr>
    </w:p>
    <w:p w14:paraId="729BF247">
      <w:pPr>
        <w:spacing w:line="360" w:lineRule="auto"/>
        <w:jc w:val="center"/>
        <w:rPr>
          <w:rFonts w:hint="eastAsia" w:ascii="宋体" w:hAnsi="宋体" w:cs="宋体"/>
          <w:b/>
          <w:bCs/>
          <w:color w:val="000000" w:themeColor="text1"/>
          <w:sz w:val="24"/>
          <w:szCs w:val="24"/>
          <w:u w:val="single"/>
          <w14:textFill>
            <w14:solidFill>
              <w14:schemeClr w14:val="tx1"/>
            </w14:solidFill>
          </w14:textFill>
        </w:rPr>
      </w:pPr>
    </w:p>
    <w:p w14:paraId="0D0B2E0F">
      <w:pPr>
        <w:spacing w:line="360" w:lineRule="auto"/>
        <w:jc w:val="center"/>
        <w:rPr>
          <w:rFonts w:hint="eastAsia" w:ascii="宋体" w:hAnsi="宋体" w:cs="宋体"/>
          <w:b/>
          <w:bCs/>
          <w:color w:val="000000" w:themeColor="text1"/>
          <w:sz w:val="24"/>
          <w:szCs w:val="24"/>
          <w:u w:val="single"/>
          <w14:textFill>
            <w14:solidFill>
              <w14:schemeClr w14:val="tx1"/>
            </w14:solidFill>
          </w14:textFill>
        </w:rPr>
      </w:pPr>
    </w:p>
    <w:p w14:paraId="7FC2A8C1">
      <w:pPr>
        <w:spacing w:line="360" w:lineRule="auto"/>
        <w:jc w:val="center"/>
        <w:rPr>
          <w:rFonts w:hint="eastAsia" w:ascii="宋体" w:hAnsi="宋体" w:cs="宋体"/>
          <w:b/>
          <w:bCs/>
          <w:color w:val="000000" w:themeColor="text1"/>
          <w:sz w:val="32"/>
          <w:szCs w:val="32"/>
          <w:u w:val="single"/>
          <w14:textFill>
            <w14:solidFill>
              <w14:schemeClr w14:val="tx1"/>
            </w14:solidFill>
          </w14:textFill>
        </w:rPr>
      </w:pPr>
    </w:p>
    <w:p w14:paraId="6F8CC25B">
      <w:pPr>
        <w:spacing w:line="360" w:lineRule="auto"/>
        <w:jc w:val="center"/>
        <w:rPr>
          <w:rFonts w:hint="eastAsia" w:ascii="宋体" w:hAnsi="宋体" w:cs="宋体"/>
          <w:b/>
          <w:bCs/>
          <w:color w:val="000000" w:themeColor="text1"/>
          <w:sz w:val="32"/>
          <w:szCs w:val="32"/>
          <w:u w:val="single"/>
          <w14:textFill>
            <w14:solidFill>
              <w14:schemeClr w14:val="tx1"/>
            </w14:solidFill>
          </w14:textFill>
        </w:rPr>
      </w:pPr>
    </w:p>
    <w:p w14:paraId="2B6A4A07">
      <w:pPr>
        <w:spacing w:line="360" w:lineRule="auto"/>
        <w:ind w:firstLine="1285" w:firstLineChars="400"/>
        <w:rPr>
          <w:rFonts w:hint="eastAsia" w:ascii="宋体" w:hAnsi="宋体" w:cs="宋体"/>
          <w:b/>
          <w:bCs/>
          <w:color w:val="000000" w:themeColor="text1"/>
          <w:sz w:val="32"/>
          <w:szCs w:val="32"/>
          <w:u w:val="single"/>
          <w14:textFill>
            <w14:solidFill>
              <w14:schemeClr w14:val="tx1"/>
            </w14:solidFill>
          </w14:textFill>
        </w:rPr>
      </w:pPr>
    </w:p>
    <w:p w14:paraId="52D46BFA">
      <w:pPr>
        <w:spacing w:line="360" w:lineRule="auto"/>
        <w:ind w:firstLine="1285" w:firstLineChars="400"/>
        <w:rPr>
          <w:rFonts w:hint="eastAsia" w:ascii="宋体" w:hAnsi="宋体" w:cs="宋体"/>
          <w:b/>
          <w:bCs/>
          <w:color w:val="000000" w:themeColor="text1"/>
          <w:sz w:val="32"/>
          <w:szCs w:val="32"/>
          <w:u w:val="single"/>
          <w14:textFill>
            <w14:solidFill>
              <w14:schemeClr w14:val="tx1"/>
            </w14:solidFill>
          </w14:textFill>
        </w:rPr>
      </w:pPr>
    </w:p>
    <w:p w14:paraId="41E034AD">
      <w:pPr>
        <w:spacing w:line="360" w:lineRule="auto"/>
        <w:ind w:firstLine="1285" w:firstLineChars="400"/>
        <w:rPr>
          <w:rFonts w:hint="eastAsia" w:ascii="宋体" w:hAnsi="宋体" w:cs="宋体"/>
          <w:b/>
          <w:bCs/>
          <w:color w:val="000000" w:themeColor="text1"/>
          <w:sz w:val="32"/>
          <w:szCs w:val="32"/>
          <w:u w:val="single"/>
          <w14:textFill>
            <w14:solidFill>
              <w14:schemeClr w14:val="tx1"/>
            </w14:solidFill>
          </w14:textFill>
        </w:rPr>
      </w:pPr>
      <w:r>
        <w:rPr>
          <w:rFonts w:hint="eastAsia" w:ascii="宋体" w:hAnsi="宋体" w:cs="宋体"/>
          <w:b/>
          <w:bCs/>
          <w:color w:val="000000" w:themeColor="text1"/>
          <w:sz w:val="32"/>
          <w:szCs w:val="32"/>
          <w:u w:val="single"/>
          <w14:textFill>
            <w14:solidFill>
              <w14:schemeClr w14:val="tx1"/>
            </w14:solidFill>
          </w14:textFill>
        </w:rPr>
        <w:t>投标人须知前附表2:资格性、符合性检查表</w:t>
      </w:r>
    </w:p>
    <w:p w14:paraId="0129AA5E">
      <w:pPr>
        <w:spacing w:line="360" w:lineRule="auto"/>
        <w:ind w:firstLine="527"/>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本须知前附表2集中列示了符合性检查的所有条款，其内容是评标委员会在评审过程中判断投标人的投标是否有效的重要依据。本须知前附表</w:t>
      </w:r>
      <w:r>
        <w:rPr>
          <w:rFonts w:ascii="宋体" w:hAnsi="宋体" w:cs="宋体"/>
          <w:color w:val="000000" w:themeColor="text1"/>
          <w:sz w:val="24"/>
          <w:szCs w:val="24"/>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的条款号是与</w:t>
      </w:r>
      <w:r>
        <w:rPr>
          <w:rFonts w:ascii="宋体" w:hAnsi="宋体" w:cs="宋体"/>
          <w:color w:val="000000" w:themeColor="text1"/>
          <w:sz w:val="24"/>
          <w:szCs w:val="24"/>
          <w14:textFill>
            <w14:solidFill>
              <w14:schemeClr w14:val="tx1"/>
            </w14:solidFill>
          </w14:textFill>
        </w:rPr>
        <w:t>固定部分第二章</w:t>
      </w:r>
      <w:r>
        <w:rPr>
          <w:rFonts w:hint="eastAsia" w:ascii="宋体" w:hAnsi="宋体" w:cs="宋体"/>
          <w:color w:val="000000" w:themeColor="text1"/>
          <w:sz w:val="24"/>
          <w:szCs w:val="24"/>
          <w14:textFill>
            <w14:solidFill>
              <w14:schemeClr w14:val="tx1"/>
            </w14:solidFill>
          </w14:textFill>
        </w:rPr>
        <w:t xml:space="preserve">《投标人须知》中条款的项号相对应的。如有矛盾，应以本须知前附表为准。 </w:t>
      </w:r>
    </w:p>
    <w:tbl>
      <w:tblPr>
        <w:tblStyle w:val="11"/>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5B97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39" w:type="dxa"/>
            <w:gridSpan w:val="4"/>
          </w:tcPr>
          <w:p w14:paraId="3C7C7E1E">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资格性要求</w:t>
            </w:r>
          </w:p>
        </w:tc>
      </w:tr>
      <w:tr w14:paraId="05EA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73E4079F">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项</w:t>
            </w:r>
          </w:p>
          <w:p w14:paraId="09B17167">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号</w:t>
            </w:r>
          </w:p>
        </w:tc>
        <w:tc>
          <w:tcPr>
            <w:tcW w:w="696" w:type="dxa"/>
            <w:tcBorders>
              <w:bottom w:val="single" w:color="auto" w:sz="4" w:space="0"/>
            </w:tcBorders>
            <w:vAlign w:val="center"/>
          </w:tcPr>
          <w:p w14:paraId="1CD39F66">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章</w:t>
            </w:r>
          </w:p>
        </w:tc>
        <w:tc>
          <w:tcPr>
            <w:tcW w:w="1422" w:type="dxa"/>
            <w:tcBorders>
              <w:bottom w:val="single" w:color="auto" w:sz="4" w:space="0"/>
            </w:tcBorders>
            <w:vAlign w:val="center"/>
          </w:tcPr>
          <w:p w14:paraId="228D26FB">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条款号</w:t>
            </w:r>
          </w:p>
        </w:tc>
        <w:tc>
          <w:tcPr>
            <w:tcW w:w="5925" w:type="dxa"/>
            <w:tcBorders>
              <w:bottom w:val="single" w:color="auto" w:sz="4" w:space="0"/>
            </w:tcBorders>
            <w:vAlign w:val="center"/>
          </w:tcPr>
          <w:p w14:paraId="5DA94F21">
            <w:pPr>
              <w:tabs>
                <w:tab w:val="left" w:pos="2848"/>
              </w:tabs>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具体内容</w:t>
            </w:r>
          </w:p>
        </w:tc>
      </w:tr>
      <w:tr w14:paraId="6DB2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D441E7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696" w:type="dxa"/>
            <w:tcBorders>
              <w:top w:val="single" w:color="auto" w:sz="4" w:space="0"/>
              <w:left w:val="single" w:color="auto" w:sz="4" w:space="0"/>
              <w:bottom w:val="single" w:color="auto" w:sz="4" w:space="0"/>
              <w:right w:val="single" w:color="auto" w:sz="4" w:space="0"/>
            </w:tcBorders>
            <w:vAlign w:val="center"/>
          </w:tcPr>
          <w:p w14:paraId="3AC853F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4B2E00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5925" w:type="dxa"/>
            <w:tcBorders>
              <w:top w:val="single" w:color="auto" w:sz="4" w:space="0"/>
              <w:left w:val="single" w:color="auto" w:sz="4" w:space="0"/>
              <w:bottom w:val="single" w:color="auto" w:sz="4" w:space="0"/>
              <w:right w:val="single" w:color="auto" w:sz="4" w:space="0"/>
            </w:tcBorders>
            <w:vAlign w:val="center"/>
          </w:tcPr>
          <w:p w14:paraId="4EAFC9B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合格的投标人</w:t>
            </w:r>
          </w:p>
          <w:p w14:paraId="1011CFB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具体内容详见第二章第3条“合格的投标人”。</w:t>
            </w:r>
          </w:p>
        </w:tc>
      </w:tr>
      <w:tr w14:paraId="4EE8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6C1BC9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696" w:type="dxa"/>
            <w:tcBorders>
              <w:top w:val="single" w:color="auto" w:sz="4" w:space="0"/>
              <w:left w:val="single" w:color="auto" w:sz="4" w:space="0"/>
              <w:bottom w:val="single" w:color="auto" w:sz="4" w:space="0"/>
              <w:right w:val="single" w:color="auto" w:sz="4" w:space="0"/>
            </w:tcBorders>
            <w:vAlign w:val="center"/>
          </w:tcPr>
          <w:p w14:paraId="0983390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86790F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3.1</w:t>
            </w:r>
          </w:p>
        </w:tc>
        <w:tc>
          <w:tcPr>
            <w:tcW w:w="5925" w:type="dxa"/>
            <w:tcBorders>
              <w:top w:val="single" w:color="auto" w:sz="4" w:space="0"/>
              <w:left w:val="single" w:color="auto" w:sz="4" w:space="0"/>
              <w:bottom w:val="single" w:color="auto" w:sz="4" w:space="0"/>
              <w:right w:val="single" w:color="auto" w:sz="4" w:space="0"/>
            </w:tcBorders>
            <w:vAlign w:val="center"/>
          </w:tcPr>
          <w:p w14:paraId="66E4F44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3.1凡有能力提供本招标文件所述货物及服务的，具备《中华人民共和国政府采购法》第二十二条第一款规定的条件且符合本招标文件规定资格要求的境内供货商或制造商均可能成为合格的投标人。</w:t>
            </w:r>
          </w:p>
          <w:p w14:paraId="3E6F5F7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投标人应具备《中华人民共和国政府采购法》第二十二条第一款规定的条件，并提供以下材料：</w:t>
            </w:r>
          </w:p>
          <w:p w14:paraId="40C688AA">
            <w:pPr>
              <w:spacing w:line="360" w:lineRule="auto"/>
              <w:ind w:firstLine="319" w:firstLineChars="133"/>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（1）法人或者其他组织的营业执照等证明文件，自然人的身份证明；</w:t>
            </w:r>
          </w:p>
          <w:p w14:paraId="4730C106">
            <w:pPr>
              <w:spacing w:line="360" w:lineRule="auto"/>
              <w:ind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投标人是法人或者其他组织的应提供营业执照等证明文件，投标人是自然人的应提供有效的自然人身份证明。</w:t>
            </w:r>
          </w:p>
          <w:p w14:paraId="1A6B5DC9">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（2）投标人已提供加载有统一社会信用代码营业执照的，视为已提供税务登记证和组织机构代码证。</w:t>
            </w:r>
          </w:p>
          <w:p w14:paraId="4B67D0CF">
            <w:pPr>
              <w:spacing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（3）按要求提供福建省政府采购供应商资格承诺函。</w:t>
            </w:r>
          </w:p>
        </w:tc>
      </w:tr>
      <w:tr w14:paraId="72B6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20ACD89">
            <w:pPr>
              <w:spacing w:line="360" w:lineRule="auto"/>
              <w:ind w:firstLine="120" w:firstLineChars="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696" w:type="dxa"/>
            <w:tcBorders>
              <w:top w:val="single" w:color="auto" w:sz="4" w:space="0"/>
              <w:left w:val="single" w:color="auto" w:sz="4" w:space="0"/>
              <w:bottom w:val="single" w:color="auto" w:sz="4" w:space="0"/>
              <w:right w:val="single" w:color="auto" w:sz="4" w:space="0"/>
            </w:tcBorders>
            <w:vAlign w:val="center"/>
          </w:tcPr>
          <w:p w14:paraId="30772F6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EBBBBA7">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3.5</w:t>
            </w:r>
          </w:p>
        </w:tc>
        <w:tc>
          <w:tcPr>
            <w:tcW w:w="5925" w:type="dxa"/>
            <w:tcBorders>
              <w:top w:val="single" w:color="auto" w:sz="4" w:space="0"/>
              <w:left w:val="single" w:color="auto" w:sz="4" w:space="0"/>
              <w:bottom w:val="single" w:color="auto" w:sz="4" w:space="0"/>
              <w:right w:val="single" w:color="auto" w:sz="4" w:space="0"/>
            </w:tcBorders>
            <w:vAlign w:val="center"/>
          </w:tcPr>
          <w:p w14:paraId="685B6FE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3.5如本项目接受联合体投标，则两个或者两个以上投标人可以组成一个投标联合体，以一个投标人的身份投标。</w:t>
            </w:r>
          </w:p>
          <w:p w14:paraId="28A7A27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572B30CF">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65731E6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（3）项目如涉及资质要求，该部分内容应由联合体中具有该资质要求的投标人承担。联合体协议及签订的采购合同应包含此项内容。</w:t>
            </w:r>
          </w:p>
          <w:p w14:paraId="46546326">
            <w:pPr>
              <w:spacing w:line="360" w:lineRule="auto"/>
              <w:ind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（4）联合体中有同类资质的投标人按照联合体分工承担相同工作的，应当按照资质等级较低的投标人确定资质等级。</w:t>
            </w:r>
          </w:p>
        </w:tc>
      </w:tr>
      <w:tr w14:paraId="0F7A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EA026E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w:t>
            </w:r>
          </w:p>
        </w:tc>
        <w:tc>
          <w:tcPr>
            <w:tcW w:w="696" w:type="dxa"/>
            <w:tcBorders>
              <w:top w:val="single" w:color="auto" w:sz="4" w:space="0"/>
              <w:left w:val="single" w:color="auto" w:sz="4" w:space="0"/>
              <w:bottom w:val="single" w:color="auto" w:sz="4" w:space="0"/>
              <w:right w:val="single" w:color="auto" w:sz="4" w:space="0"/>
            </w:tcBorders>
            <w:vAlign w:val="center"/>
          </w:tcPr>
          <w:p w14:paraId="3825F86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C6AC4E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3.6</w:t>
            </w:r>
          </w:p>
        </w:tc>
        <w:tc>
          <w:tcPr>
            <w:tcW w:w="5925" w:type="dxa"/>
            <w:tcBorders>
              <w:top w:val="single" w:color="auto" w:sz="4" w:space="0"/>
              <w:left w:val="single" w:color="auto" w:sz="4" w:space="0"/>
              <w:bottom w:val="single" w:color="auto" w:sz="4" w:space="0"/>
              <w:right w:val="single" w:color="auto" w:sz="4" w:space="0"/>
            </w:tcBorders>
            <w:vAlign w:val="center"/>
          </w:tcPr>
          <w:p w14:paraId="680C6F8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3.6属于联合体投标的，由联合体中的一方负责网上投标事宜，该方的网上投标行为及其递交的投标文件等资料对联合体各方均具有约束力。</w:t>
            </w:r>
          </w:p>
        </w:tc>
      </w:tr>
      <w:tr w14:paraId="3B3D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D7C975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w:t>
            </w:r>
          </w:p>
        </w:tc>
        <w:tc>
          <w:tcPr>
            <w:tcW w:w="696" w:type="dxa"/>
            <w:tcBorders>
              <w:top w:val="single" w:color="auto" w:sz="4" w:space="0"/>
              <w:left w:val="single" w:color="auto" w:sz="4" w:space="0"/>
              <w:bottom w:val="single" w:color="auto" w:sz="4" w:space="0"/>
              <w:right w:val="single" w:color="auto" w:sz="4" w:space="0"/>
            </w:tcBorders>
            <w:vAlign w:val="center"/>
          </w:tcPr>
          <w:p w14:paraId="3446603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C40B6B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3.7</w:t>
            </w:r>
          </w:p>
        </w:tc>
        <w:tc>
          <w:tcPr>
            <w:tcW w:w="5925" w:type="dxa"/>
            <w:tcBorders>
              <w:top w:val="single" w:color="auto" w:sz="4" w:space="0"/>
              <w:left w:val="single" w:color="auto" w:sz="4" w:space="0"/>
              <w:bottom w:val="single" w:color="auto" w:sz="4" w:space="0"/>
              <w:right w:val="single" w:color="auto" w:sz="4" w:space="0"/>
            </w:tcBorders>
            <w:vAlign w:val="center"/>
          </w:tcPr>
          <w:p w14:paraId="27B8E21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3.7投标代理人在同一个项目中只能接受一个投标人的委托参加投标。</w:t>
            </w:r>
          </w:p>
        </w:tc>
      </w:tr>
      <w:tr w14:paraId="399E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820EC4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p>
        </w:tc>
        <w:tc>
          <w:tcPr>
            <w:tcW w:w="696" w:type="dxa"/>
            <w:tcBorders>
              <w:top w:val="single" w:color="auto" w:sz="4" w:space="0"/>
              <w:left w:val="single" w:color="auto" w:sz="4" w:space="0"/>
              <w:bottom w:val="single" w:color="auto" w:sz="4" w:space="0"/>
              <w:right w:val="single" w:color="auto" w:sz="4" w:space="0"/>
            </w:tcBorders>
            <w:vAlign w:val="center"/>
          </w:tcPr>
          <w:p w14:paraId="7A94410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BA08EEA">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3.9</w:t>
            </w:r>
          </w:p>
        </w:tc>
        <w:tc>
          <w:tcPr>
            <w:tcW w:w="5925" w:type="dxa"/>
            <w:tcBorders>
              <w:top w:val="single" w:color="auto" w:sz="4" w:space="0"/>
              <w:left w:val="single" w:color="auto" w:sz="4" w:space="0"/>
              <w:bottom w:val="single" w:color="auto" w:sz="4" w:space="0"/>
              <w:right w:val="single" w:color="auto" w:sz="4" w:space="0"/>
            </w:tcBorders>
            <w:vAlign w:val="center"/>
          </w:tcPr>
          <w:p w14:paraId="3DD6B408">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3.9投标人必须在招标文件购买截止时间前，上网点击相关费用缴交，并将相关费用缴交至收款单位账户。否则投标人将无权下载招标文件，且不具备投标资格。</w:t>
            </w:r>
          </w:p>
        </w:tc>
      </w:tr>
      <w:tr w14:paraId="7504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C4B483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p>
        </w:tc>
        <w:tc>
          <w:tcPr>
            <w:tcW w:w="696" w:type="dxa"/>
            <w:tcBorders>
              <w:top w:val="single" w:color="auto" w:sz="4" w:space="0"/>
              <w:left w:val="single" w:color="auto" w:sz="4" w:space="0"/>
              <w:bottom w:val="single" w:color="auto" w:sz="4" w:space="0"/>
              <w:right w:val="single" w:color="auto" w:sz="4" w:space="0"/>
            </w:tcBorders>
            <w:vAlign w:val="center"/>
          </w:tcPr>
          <w:p w14:paraId="033A882D">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top w:val="single" w:color="auto" w:sz="4" w:space="0"/>
              <w:left w:val="single" w:color="auto" w:sz="4" w:space="0"/>
              <w:bottom w:val="single" w:color="auto" w:sz="4" w:space="0"/>
              <w:right w:val="single" w:color="auto" w:sz="4" w:space="0"/>
            </w:tcBorders>
            <w:vAlign w:val="center"/>
          </w:tcPr>
          <w:p w14:paraId="0EC25407">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top w:val="single" w:color="auto" w:sz="4" w:space="0"/>
              <w:left w:val="single" w:color="auto" w:sz="4" w:space="0"/>
              <w:bottom w:val="single" w:color="auto" w:sz="4" w:space="0"/>
              <w:right w:val="single" w:color="auto" w:sz="4" w:space="0"/>
            </w:tcBorders>
            <w:vAlign w:val="center"/>
          </w:tcPr>
          <w:p w14:paraId="5BDAA481">
            <w:pPr>
              <w:tabs>
                <w:tab w:val="left" w:pos="630"/>
              </w:tabs>
              <w:spacing w:line="360" w:lineRule="auto"/>
              <w:ind w:firstLine="56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信用记录按照下列规定执行：信用记录的查询及审查：①由资格审查小组评审当日通过“信用中国”网站（www.creditchina.gov.cn）、中国政府采购网（www.ccgp.gov.cn）、信用中国(福建厦门)（credit.xm.gov.cn）查询并打印投标人信用记录（以下简称：“资格审查小组的查询结果”）。②经查询，投标人（包括联合体各方，联合体成员存在不良记录的，视同联合体存在不良信用记录，认定联合体资格审查不合格）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7C03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D600EA1">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w:t>
            </w:r>
          </w:p>
        </w:tc>
        <w:tc>
          <w:tcPr>
            <w:tcW w:w="696" w:type="dxa"/>
            <w:tcBorders>
              <w:top w:val="single" w:color="auto" w:sz="4" w:space="0"/>
              <w:left w:val="single" w:color="auto" w:sz="4" w:space="0"/>
              <w:bottom w:val="single" w:color="auto" w:sz="4" w:space="0"/>
              <w:right w:val="single" w:color="auto" w:sz="4" w:space="0"/>
            </w:tcBorders>
          </w:tcPr>
          <w:p w14:paraId="1E7D9AC1">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top w:val="single" w:color="auto" w:sz="4" w:space="0"/>
              <w:left w:val="single" w:color="auto" w:sz="4" w:space="0"/>
              <w:bottom w:val="single" w:color="auto" w:sz="4" w:space="0"/>
              <w:right w:val="single" w:color="auto" w:sz="4" w:space="0"/>
            </w:tcBorders>
          </w:tcPr>
          <w:p w14:paraId="2D6C297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w:t>
            </w:r>
          </w:p>
        </w:tc>
        <w:tc>
          <w:tcPr>
            <w:tcW w:w="5925" w:type="dxa"/>
            <w:tcBorders>
              <w:top w:val="single" w:color="auto" w:sz="4" w:space="0"/>
              <w:left w:val="single" w:color="auto" w:sz="4" w:space="0"/>
              <w:bottom w:val="single" w:color="auto" w:sz="4" w:space="0"/>
              <w:right w:val="single" w:color="auto" w:sz="4" w:space="0"/>
            </w:tcBorders>
          </w:tcPr>
          <w:p w14:paraId="49F2E1B8">
            <w:pPr>
              <w:spacing w:beforeLines="0"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★1.投标人应提供工商营业执照（副本）的复印件（加盖公章）。</w:t>
            </w:r>
          </w:p>
        </w:tc>
      </w:tr>
      <w:tr w14:paraId="22D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F96BE9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w:t>
            </w:r>
          </w:p>
        </w:tc>
        <w:tc>
          <w:tcPr>
            <w:tcW w:w="696" w:type="dxa"/>
            <w:tcBorders>
              <w:top w:val="single" w:color="auto" w:sz="4" w:space="0"/>
              <w:left w:val="single" w:color="auto" w:sz="4" w:space="0"/>
              <w:bottom w:val="single" w:color="auto" w:sz="4" w:space="0"/>
              <w:right w:val="single" w:color="auto" w:sz="4" w:space="0"/>
            </w:tcBorders>
          </w:tcPr>
          <w:p w14:paraId="373A554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top w:val="single" w:color="auto" w:sz="4" w:space="0"/>
              <w:left w:val="single" w:color="auto" w:sz="4" w:space="0"/>
              <w:bottom w:val="single" w:color="auto" w:sz="4" w:space="0"/>
              <w:right w:val="single" w:color="auto" w:sz="4" w:space="0"/>
            </w:tcBorders>
          </w:tcPr>
          <w:p w14:paraId="17655082">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top w:val="single" w:color="auto" w:sz="4" w:space="0"/>
              <w:left w:val="single" w:color="auto" w:sz="4" w:space="0"/>
              <w:bottom w:val="single" w:color="auto" w:sz="4" w:space="0"/>
              <w:right w:val="single" w:color="auto" w:sz="4" w:space="0"/>
            </w:tcBorders>
          </w:tcPr>
          <w:p w14:paraId="2272B8FC">
            <w:pPr>
              <w:pStyle w:val="9"/>
              <w:spacing w:before="0" w:beforeLines="0" w:beforeAutospacing="0" w:line="360" w:lineRule="auto"/>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★2.投标人全权代表若不是单位负责人，应提供单位授权书原件，并提供被授权代表身份证复印件。</w:t>
            </w:r>
          </w:p>
        </w:tc>
      </w:tr>
      <w:tr w14:paraId="5241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vAlign w:val="center"/>
          </w:tcPr>
          <w:p w14:paraId="2DDE967E">
            <w:pPr>
              <w:spacing w:line="360" w:lineRule="auto"/>
              <w:ind w:firstLine="3373" w:firstLineChars="1400"/>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符合性要求</w:t>
            </w:r>
          </w:p>
        </w:tc>
      </w:tr>
      <w:tr w14:paraId="2BC6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AA72DC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项号</w:t>
            </w:r>
          </w:p>
        </w:tc>
        <w:tc>
          <w:tcPr>
            <w:tcW w:w="696" w:type="dxa"/>
            <w:tcBorders>
              <w:top w:val="single" w:color="auto" w:sz="4" w:space="0"/>
              <w:left w:val="single" w:color="auto" w:sz="4" w:space="0"/>
              <w:bottom w:val="single" w:color="auto" w:sz="4" w:space="0"/>
              <w:right w:val="single" w:color="auto" w:sz="4" w:space="0"/>
            </w:tcBorders>
            <w:vAlign w:val="center"/>
          </w:tcPr>
          <w:p w14:paraId="7BB39F2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章</w:t>
            </w:r>
          </w:p>
        </w:tc>
        <w:tc>
          <w:tcPr>
            <w:tcW w:w="1422" w:type="dxa"/>
            <w:tcBorders>
              <w:top w:val="single" w:color="auto" w:sz="4" w:space="0"/>
              <w:left w:val="single" w:color="auto" w:sz="4" w:space="0"/>
              <w:bottom w:val="single" w:color="auto" w:sz="4" w:space="0"/>
              <w:right w:val="single" w:color="auto" w:sz="4" w:space="0"/>
            </w:tcBorders>
            <w:vAlign w:val="center"/>
          </w:tcPr>
          <w:p w14:paraId="7B1FCC9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条款号</w:t>
            </w:r>
          </w:p>
        </w:tc>
        <w:tc>
          <w:tcPr>
            <w:tcW w:w="5925" w:type="dxa"/>
            <w:tcBorders>
              <w:top w:val="single" w:color="auto" w:sz="4" w:space="0"/>
              <w:left w:val="single" w:color="auto" w:sz="4" w:space="0"/>
              <w:bottom w:val="single" w:color="auto" w:sz="4" w:space="0"/>
              <w:right w:val="single" w:color="auto" w:sz="4" w:space="0"/>
            </w:tcBorders>
            <w:vAlign w:val="center"/>
          </w:tcPr>
          <w:p w14:paraId="7F367F6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具体内容</w:t>
            </w:r>
          </w:p>
        </w:tc>
      </w:tr>
      <w:tr w14:paraId="5C4C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526017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696" w:type="dxa"/>
            <w:tcBorders>
              <w:top w:val="single" w:color="auto" w:sz="4" w:space="0"/>
              <w:left w:val="single" w:color="auto" w:sz="4" w:space="0"/>
              <w:bottom w:val="single" w:color="auto" w:sz="4" w:space="0"/>
              <w:right w:val="single" w:color="auto" w:sz="4" w:space="0"/>
            </w:tcBorders>
            <w:vAlign w:val="center"/>
          </w:tcPr>
          <w:p w14:paraId="58C4B4A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w:t>
            </w:r>
          </w:p>
        </w:tc>
        <w:tc>
          <w:tcPr>
            <w:tcW w:w="1422" w:type="dxa"/>
            <w:tcBorders>
              <w:top w:val="single" w:color="auto" w:sz="4" w:space="0"/>
              <w:left w:val="single" w:color="auto" w:sz="4" w:space="0"/>
              <w:bottom w:val="single" w:color="auto" w:sz="4" w:space="0"/>
              <w:right w:val="single" w:color="auto" w:sz="4" w:space="0"/>
            </w:tcBorders>
            <w:vAlign w:val="center"/>
          </w:tcPr>
          <w:p w14:paraId="47C8E50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w:t>
            </w:r>
          </w:p>
        </w:tc>
        <w:tc>
          <w:tcPr>
            <w:tcW w:w="5925" w:type="dxa"/>
            <w:tcBorders>
              <w:top w:val="single" w:color="auto" w:sz="4" w:space="0"/>
              <w:left w:val="single" w:color="auto" w:sz="4" w:space="0"/>
              <w:bottom w:val="single" w:color="auto" w:sz="4" w:space="0"/>
              <w:right w:val="single" w:color="auto" w:sz="4" w:space="0"/>
            </w:tcBorders>
          </w:tcPr>
          <w:p w14:paraId="25C7986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投标人的投标文件未按规定的投标截止时间之前提交的，其投标将被拒绝。</w:t>
            </w:r>
          </w:p>
        </w:tc>
      </w:tr>
      <w:tr w14:paraId="5A73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49C141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696" w:type="dxa"/>
            <w:tcBorders>
              <w:top w:val="single" w:color="auto" w:sz="4" w:space="0"/>
              <w:left w:val="single" w:color="auto" w:sz="4" w:space="0"/>
              <w:bottom w:val="single" w:color="auto" w:sz="4" w:space="0"/>
              <w:right w:val="single" w:color="auto" w:sz="4" w:space="0"/>
            </w:tcBorders>
            <w:vAlign w:val="center"/>
          </w:tcPr>
          <w:p w14:paraId="2A9E1EC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C92983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w:t>
            </w:r>
          </w:p>
        </w:tc>
        <w:tc>
          <w:tcPr>
            <w:tcW w:w="5925" w:type="dxa"/>
            <w:tcBorders>
              <w:top w:val="single" w:color="auto" w:sz="4" w:space="0"/>
              <w:left w:val="single" w:color="auto" w:sz="4" w:space="0"/>
              <w:bottom w:val="single" w:color="auto" w:sz="4" w:space="0"/>
              <w:right w:val="single" w:color="auto" w:sz="4" w:space="0"/>
            </w:tcBorders>
            <w:vAlign w:val="center"/>
          </w:tcPr>
          <w:p w14:paraId="5630467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3.2投标人应遵守并符合中国的有关法律、法规和规章的规定，同时其投标货物或服务也应符合中国的有关法律、法规和规章的规定。认可本须知中的规定。</w:t>
            </w:r>
          </w:p>
        </w:tc>
      </w:tr>
      <w:tr w14:paraId="32E6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F24E3E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696" w:type="dxa"/>
            <w:tcBorders>
              <w:top w:val="single" w:color="auto" w:sz="4" w:space="0"/>
              <w:left w:val="single" w:color="auto" w:sz="4" w:space="0"/>
              <w:bottom w:val="single" w:color="auto" w:sz="4" w:space="0"/>
              <w:right w:val="single" w:color="auto" w:sz="4" w:space="0"/>
            </w:tcBorders>
            <w:vAlign w:val="center"/>
          </w:tcPr>
          <w:p w14:paraId="44B4CC7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2B9BE5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w:t>
            </w:r>
          </w:p>
        </w:tc>
        <w:tc>
          <w:tcPr>
            <w:tcW w:w="5925" w:type="dxa"/>
            <w:tcBorders>
              <w:top w:val="single" w:color="auto" w:sz="4" w:space="0"/>
              <w:left w:val="single" w:color="auto" w:sz="4" w:space="0"/>
              <w:bottom w:val="single" w:color="auto" w:sz="4" w:space="0"/>
              <w:right w:val="single" w:color="auto" w:sz="4" w:space="0"/>
            </w:tcBorders>
            <w:vAlign w:val="center"/>
          </w:tcPr>
          <w:p w14:paraId="6F0327C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3.3一个投标人只能提交一个投标文件。如果投标人之间存在下列互为关联关系的情形之一的，不得同时参加本项目同一合同包投标：</w:t>
            </w:r>
          </w:p>
          <w:p w14:paraId="1B83965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(1)法定代表人、单位负责人为同一人或夫妻关系的不同投标人；</w:t>
            </w:r>
          </w:p>
          <w:p w14:paraId="40A4858D">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(2)存在直接控股、管理关系的不同投标人；</w:t>
            </w:r>
          </w:p>
          <w:p w14:paraId="7A651928">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(3)均为同一家母公司直接或间接持股50％及以上的被投资公司。</w:t>
            </w:r>
          </w:p>
        </w:tc>
      </w:tr>
      <w:tr w14:paraId="2ABA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A0E210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w:t>
            </w:r>
          </w:p>
        </w:tc>
        <w:tc>
          <w:tcPr>
            <w:tcW w:w="696" w:type="dxa"/>
            <w:tcBorders>
              <w:top w:val="single" w:color="auto" w:sz="4" w:space="0"/>
              <w:left w:val="single" w:color="auto" w:sz="4" w:space="0"/>
              <w:bottom w:val="single" w:color="auto" w:sz="4" w:space="0"/>
              <w:right w:val="single" w:color="auto" w:sz="4" w:space="0"/>
            </w:tcBorders>
            <w:vAlign w:val="center"/>
          </w:tcPr>
          <w:p w14:paraId="38AFA10A">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842EEA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3.4</w:t>
            </w:r>
          </w:p>
        </w:tc>
        <w:tc>
          <w:tcPr>
            <w:tcW w:w="5925" w:type="dxa"/>
            <w:tcBorders>
              <w:top w:val="single" w:color="auto" w:sz="4" w:space="0"/>
              <w:left w:val="single" w:color="auto" w:sz="4" w:space="0"/>
              <w:bottom w:val="single" w:color="auto" w:sz="4" w:space="0"/>
              <w:right w:val="single" w:color="auto" w:sz="4" w:space="0"/>
            </w:tcBorders>
            <w:vAlign w:val="center"/>
          </w:tcPr>
          <w:p w14:paraId="338C2AF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均为同一家母公司直接持股50％及以上的被投资公司。</w:t>
            </w:r>
          </w:p>
        </w:tc>
      </w:tr>
      <w:tr w14:paraId="3FE7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5A1DAE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w:t>
            </w:r>
          </w:p>
        </w:tc>
        <w:tc>
          <w:tcPr>
            <w:tcW w:w="696" w:type="dxa"/>
            <w:tcBorders>
              <w:top w:val="single" w:color="auto" w:sz="4" w:space="0"/>
              <w:left w:val="single" w:color="auto" w:sz="4" w:space="0"/>
              <w:bottom w:val="single" w:color="auto" w:sz="4" w:space="0"/>
              <w:right w:val="single" w:color="auto" w:sz="4" w:space="0"/>
            </w:tcBorders>
            <w:vAlign w:val="center"/>
          </w:tcPr>
          <w:p w14:paraId="2A4B95E7">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EC235F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3.8</w:t>
            </w:r>
          </w:p>
        </w:tc>
        <w:tc>
          <w:tcPr>
            <w:tcW w:w="5925" w:type="dxa"/>
            <w:tcBorders>
              <w:top w:val="single" w:color="auto" w:sz="4" w:space="0"/>
              <w:left w:val="single" w:color="auto" w:sz="4" w:space="0"/>
              <w:bottom w:val="single" w:color="auto" w:sz="4" w:space="0"/>
              <w:right w:val="single" w:color="auto" w:sz="4" w:space="0"/>
            </w:tcBorders>
            <w:vAlign w:val="center"/>
          </w:tcPr>
          <w:p w14:paraId="39A541AD">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3.8投标人存在下列情形之一的，将被认定为串通投标行为并作无效投标处理：</w:t>
            </w:r>
          </w:p>
          <w:p w14:paraId="51641B7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（1）投标人之间协商投标报价等投标文件的实质性内容；</w:t>
            </w:r>
          </w:p>
          <w:p w14:paraId="60ED863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（2）投标人之间约定中标供应商；</w:t>
            </w:r>
          </w:p>
          <w:p w14:paraId="5110FFF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（3）投标人之间约定部分投标人放弃投标或者中标；</w:t>
            </w:r>
          </w:p>
          <w:p w14:paraId="036ABEF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（4）属于同一集团、协会、商会等组织成员的投标人按照该组织要求协同投标；</w:t>
            </w:r>
          </w:p>
          <w:p w14:paraId="036F480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（5）投标人之间为谋取中标或者排斥特定投标人而采取的其他联合行动；</w:t>
            </w:r>
          </w:p>
          <w:p w14:paraId="05105C94">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（6）不同投标人的投标文件由同一单位或者个人编制；</w:t>
            </w:r>
          </w:p>
          <w:p w14:paraId="537B607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（7）不同投标人委托同一单位或者个人办理投标事宜；</w:t>
            </w:r>
          </w:p>
          <w:p w14:paraId="061C1DEF">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（8）不同投标人的投标文件载明的项目管理成员或者联系人员为同一人；</w:t>
            </w:r>
          </w:p>
          <w:p w14:paraId="2346BC0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（9）不同投标人的投标文件异常一致或者投标报价呈规律性差异；</w:t>
            </w:r>
          </w:p>
          <w:p w14:paraId="7A79B39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（10）不同投标人的投标文件相互混装；</w:t>
            </w:r>
          </w:p>
          <w:p w14:paraId="1DB157E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（11）不同投标人的投标保证金从同一单位或者个人的账户转出。</w:t>
            </w:r>
          </w:p>
          <w:p w14:paraId="41000FED">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（12）不同投标人的投标文件错、漏之处一致或雷同，且不能合理解释的；</w:t>
            </w:r>
          </w:p>
          <w:p w14:paraId="4A96129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（13）不同的投标人的法定代表人、委托代理人等由同一个单位缴纳社会保险的；</w:t>
            </w:r>
          </w:p>
          <w:p w14:paraId="726C3B8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（14）由同一人或分别由几个有利害关系的人携带两个以上（含两个）投标人的企业资料参与资格审查、领取招标资料，或代表两个以上（含两个）投标人参加招标答疑会、交纳或退还投标保证金、开标的；</w:t>
            </w:r>
          </w:p>
          <w:p w14:paraId="5B0663F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（15）有关法律、法规或规章规定的其他串通投标行为。</w:t>
            </w:r>
          </w:p>
        </w:tc>
      </w:tr>
      <w:tr w14:paraId="575F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E2F398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p>
        </w:tc>
        <w:tc>
          <w:tcPr>
            <w:tcW w:w="696" w:type="dxa"/>
            <w:tcBorders>
              <w:top w:val="single" w:color="auto" w:sz="4" w:space="0"/>
              <w:left w:val="single" w:color="auto" w:sz="4" w:space="0"/>
              <w:bottom w:val="single" w:color="auto" w:sz="4" w:space="0"/>
              <w:right w:val="single" w:color="auto" w:sz="4" w:space="0"/>
            </w:tcBorders>
            <w:vAlign w:val="center"/>
          </w:tcPr>
          <w:p w14:paraId="45D130C2">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3DB7837">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8.1</w:t>
            </w:r>
          </w:p>
        </w:tc>
        <w:tc>
          <w:tcPr>
            <w:tcW w:w="5925" w:type="dxa"/>
            <w:tcBorders>
              <w:top w:val="single" w:color="auto" w:sz="4" w:space="0"/>
              <w:left w:val="single" w:color="auto" w:sz="4" w:space="0"/>
              <w:bottom w:val="single" w:color="auto" w:sz="4" w:space="0"/>
              <w:right w:val="single" w:color="auto" w:sz="4" w:space="0"/>
            </w:tcBorders>
          </w:tcPr>
          <w:p w14:paraId="180B9E9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8.1投标人应仔细阅读供应商操作手册和招标文件的所有内容，按照相关要求提交投标文件。</w:t>
            </w:r>
            <w:r>
              <w:rPr>
                <w:rFonts w:hint="eastAsia" w:ascii="宋体" w:hAnsi="宋体" w:cs="宋体"/>
                <w:b/>
                <w:color w:val="000000" w:themeColor="text1"/>
                <w:sz w:val="24"/>
                <w:szCs w:val="24"/>
                <w14:textFill>
                  <w14:solidFill>
                    <w14:schemeClr w14:val="tx1"/>
                  </w14:solidFill>
                </w14:textFill>
              </w:rPr>
              <w:t>投标文件应对招标文件的要求作出实质性响应，并保证所提供的全部资料的真实性，否则其投标将被拒绝。</w:t>
            </w:r>
          </w:p>
        </w:tc>
      </w:tr>
      <w:tr w14:paraId="63DC8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B80F5E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w:t>
            </w:r>
          </w:p>
        </w:tc>
        <w:tc>
          <w:tcPr>
            <w:tcW w:w="696" w:type="dxa"/>
            <w:tcBorders>
              <w:top w:val="single" w:color="auto" w:sz="4" w:space="0"/>
              <w:left w:val="single" w:color="auto" w:sz="4" w:space="0"/>
              <w:bottom w:val="single" w:color="auto" w:sz="4" w:space="0"/>
              <w:right w:val="single" w:color="auto" w:sz="4" w:space="0"/>
            </w:tcBorders>
            <w:vAlign w:val="center"/>
          </w:tcPr>
          <w:p w14:paraId="7D6C634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87258D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8.2</w:t>
            </w:r>
          </w:p>
        </w:tc>
        <w:tc>
          <w:tcPr>
            <w:tcW w:w="5925" w:type="dxa"/>
            <w:tcBorders>
              <w:top w:val="single" w:color="auto" w:sz="4" w:space="0"/>
              <w:left w:val="single" w:color="auto" w:sz="4" w:space="0"/>
              <w:bottom w:val="single" w:color="auto" w:sz="4" w:space="0"/>
              <w:right w:val="single" w:color="auto" w:sz="4" w:space="0"/>
            </w:tcBorders>
          </w:tcPr>
          <w:p w14:paraId="3700A018">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2666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F8697D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w:t>
            </w:r>
          </w:p>
        </w:tc>
        <w:tc>
          <w:tcPr>
            <w:tcW w:w="696" w:type="dxa"/>
            <w:tcBorders>
              <w:top w:val="single" w:color="auto" w:sz="4" w:space="0"/>
              <w:left w:val="single" w:color="auto" w:sz="4" w:space="0"/>
              <w:bottom w:val="single" w:color="auto" w:sz="4" w:space="0"/>
              <w:right w:val="single" w:color="auto" w:sz="4" w:space="0"/>
            </w:tcBorders>
            <w:vAlign w:val="center"/>
          </w:tcPr>
          <w:p w14:paraId="7B22102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AC7BA41">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10.2</w:t>
            </w:r>
          </w:p>
        </w:tc>
        <w:tc>
          <w:tcPr>
            <w:tcW w:w="5925" w:type="dxa"/>
            <w:tcBorders>
              <w:top w:val="single" w:color="auto" w:sz="4" w:space="0"/>
              <w:left w:val="single" w:color="auto" w:sz="4" w:space="0"/>
              <w:bottom w:val="single" w:color="auto" w:sz="4" w:space="0"/>
              <w:right w:val="single" w:color="auto" w:sz="4" w:space="0"/>
            </w:tcBorders>
            <w:vAlign w:val="center"/>
          </w:tcPr>
          <w:p w14:paraId="1BB0DF6E">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10.2投标文件必须包括下列部分，否则其投标将按照无效投标处理：</w:t>
            </w:r>
          </w:p>
          <w:p w14:paraId="3A307C9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 投 标 书</w:t>
            </w:r>
          </w:p>
          <w:p w14:paraId="50D7006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 投标分项报价表</w:t>
            </w:r>
          </w:p>
          <w:p w14:paraId="1A23E224">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 货物说明一览表</w:t>
            </w:r>
          </w:p>
          <w:p w14:paraId="5AD64F0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(4) 供货范围清单 </w:t>
            </w:r>
          </w:p>
          <w:p w14:paraId="065CDC8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 技术和商务响应表</w:t>
            </w:r>
            <w:r>
              <w:rPr>
                <w:rFonts w:hint="eastAsia" w:ascii="宋体" w:hAnsi="宋体" w:cs="宋体"/>
                <w:bCs/>
                <w:color w:val="000000" w:themeColor="text1"/>
                <w:sz w:val="24"/>
                <w:szCs w:val="24"/>
                <w14:textFill>
                  <w14:solidFill>
                    <w14:schemeClr w14:val="tx1"/>
                  </w14:solidFill>
                </w14:textFill>
              </w:rPr>
              <w:t>、★号条款内容响应表</w:t>
            </w:r>
          </w:p>
          <w:p w14:paraId="3741226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 投标人的资格证明文件</w:t>
            </w:r>
          </w:p>
          <w:p w14:paraId="0E93B66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授权函</w:t>
            </w:r>
          </w:p>
          <w:p w14:paraId="0A488B3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投标人的资格声明</w:t>
            </w:r>
          </w:p>
          <w:p w14:paraId="7617D11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单位授权书</w:t>
            </w:r>
          </w:p>
          <w:p w14:paraId="4987B72F">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(7)代理服务费承诺书</w:t>
            </w:r>
          </w:p>
          <w:p w14:paraId="09B559E4">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 开标一览表</w:t>
            </w:r>
          </w:p>
          <w:p w14:paraId="11A28B7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 投标保证金</w:t>
            </w:r>
          </w:p>
        </w:tc>
      </w:tr>
      <w:tr w14:paraId="6F37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CCE037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w:t>
            </w:r>
          </w:p>
        </w:tc>
        <w:tc>
          <w:tcPr>
            <w:tcW w:w="696" w:type="dxa"/>
            <w:tcBorders>
              <w:top w:val="single" w:color="auto" w:sz="4" w:space="0"/>
              <w:left w:val="single" w:color="auto" w:sz="4" w:space="0"/>
              <w:bottom w:val="single" w:color="auto" w:sz="4" w:space="0"/>
              <w:right w:val="single" w:color="auto" w:sz="4" w:space="0"/>
            </w:tcBorders>
            <w:vAlign w:val="center"/>
          </w:tcPr>
          <w:p w14:paraId="4B17029A">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8020739">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11.1</w:t>
            </w:r>
          </w:p>
        </w:tc>
        <w:tc>
          <w:tcPr>
            <w:tcW w:w="5925" w:type="dxa"/>
            <w:tcBorders>
              <w:top w:val="single" w:color="auto" w:sz="4" w:space="0"/>
              <w:left w:val="single" w:color="auto" w:sz="4" w:space="0"/>
              <w:bottom w:val="single" w:color="auto" w:sz="4" w:space="0"/>
              <w:right w:val="single" w:color="auto" w:sz="4" w:space="0"/>
            </w:tcBorders>
            <w:vAlign w:val="center"/>
          </w:tcPr>
          <w:p w14:paraId="717BAA4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11.1投标有效期：投标截止之日起</w:t>
            </w:r>
            <w:r>
              <w:rPr>
                <w:rFonts w:hint="eastAsia" w:ascii="宋体" w:hAnsi="宋体" w:cs="宋体"/>
                <w:color w:val="000000" w:themeColor="text1"/>
                <w:sz w:val="24"/>
                <w:szCs w:val="24"/>
                <w:u w:val="single"/>
                <w14:textFill>
                  <w14:solidFill>
                    <w14:schemeClr w14:val="tx1"/>
                  </w14:solidFill>
                </w14:textFill>
              </w:rPr>
              <w:t>90</w:t>
            </w:r>
            <w:r>
              <w:rPr>
                <w:rFonts w:hint="eastAsia" w:ascii="宋体" w:hAnsi="宋体" w:cs="宋体"/>
                <w:color w:val="000000" w:themeColor="text1"/>
                <w:sz w:val="24"/>
                <w:szCs w:val="24"/>
                <w14:textFill>
                  <w14:solidFill>
                    <w14:schemeClr w14:val="tx1"/>
                  </w14:solidFill>
                </w14:textFill>
              </w:rPr>
              <w:t>个日历日。有效期不足将导致其投标文件被拒绝。</w:t>
            </w:r>
          </w:p>
        </w:tc>
      </w:tr>
      <w:tr w14:paraId="09ACF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276E8D2">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w:t>
            </w:r>
          </w:p>
        </w:tc>
        <w:tc>
          <w:tcPr>
            <w:tcW w:w="696" w:type="dxa"/>
            <w:tcBorders>
              <w:top w:val="single" w:color="auto" w:sz="4" w:space="0"/>
              <w:left w:val="single" w:color="auto" w:sz="4" w:space="0"/>
              <w:bottom w:val="single" w:color="auto" w:sz="4" w:space="0"/>
              <w:right w:val="single" w:color="auto" w:sz="4" w:space="0"/>
            </w:tcBorders>
            <w:vAlign w:val="center"/>
          </w:tcPr>
          <w:p w14:paraId="4C48033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D19739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12.5</w:t>
            </w:r>
          </w:p>
        </w:tc>
        <w:tc>
          <w:tcPr>
            <w:tcW w:w="5925" w:type="dxa"/>
            <w:tcBorders>
              <w:top w:val="single" w:color="auto" w:sz="4" w:space="0"/>
              <w:left w:val="single" w:color="auto" w:sz="4" w:space="0"/>
              <w:bottom w:val="single" w:color="auto" w:sz="4" w:space="0"/>
              <w:right w:val="single" w:color="auto" w:sz="4" w:space="0"/>
            </w:tcBorders>
            <w:vAlign w:val="center"/>
          </w:tcPr>
          <w:p w14:paraId="46E81CE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12.5未按要求缴交投标保证金的投标，将被视为无效投标。</w:t>
            </w:r>
          </w:p>
        </w:tc>
      </w:tr>
      <w:tr w14:paraId="554A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7AAA5E2">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11</w:t>
            </w:r>
          </w:p>
        </w:tc>
        <w:tc>
          <w:tcPr>
            <w:tcW w:w="696" w:type="dxa"/>
            <w:tcBorders>
              <w:top w:val="single" w:color="auto" w:sz="4" w:space="0"/>
              <w:left w:val="single" w:color="auto" w:sz="4" w:space="0"/>
              <w:bottom w:val="single" w:color="auto" w:sz="4" w:space="0"/>
              <w:right w:val="single" w:color="auto" w:sz="4" w:space="0"/>
            </w:tcBorders>
            <w:vAlign w:val="center"/>
          </w:tcPr>
          <w:p w14:paraId="2E20AD8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A2979F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14.3</w:t>
            </w:r>
          </w:p>
        </w:tc>
        <w:tc>
          <w:tcPr>
            <w:tcW w:w="5925" w:type="dxa"/>
            <w:tcBorders>
              <w:top w:val="single" w:color="auto" w:sz="4" w:space="0"/>
              <w:left w:val="single" w:color="auto" w:sz="4" w:space="0"/>
              <w:bottom w:val="single" w:color="auto" w:sz="4" w:space="0"/>
              <w:right w:val="single" w:color="auto" w:sz="4" w:space="0"/>
            </w:tcBorders>
          </w:tcPr>
          <w:p w14:paraId="123C0ABA">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14.3投标文件应在投标截止时间前上传成功，已上传但未提示上传成功的投标无效。</w:t>
            </w:r>
          </w:p>
        </w:tc>
      </w:tr>
      <w:tr w14:paraId="3A648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A241D0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w:t>
            </w:r>
          </w:p>
        </w:tc>
        <w:tc>
          <w:tcPr>
            <w:tcW w:w="696" w:type="dxa"/>
            <w:tcBorders>
              <w:top w:val="single" w:color="auto" w:sz="4" w:space="0"/>
              <w:left w:val="single" w:color="auto" w:sz="4" w:space="0"/>
              <w:bottom w:val="single" w:color="auto" w:sz="4" w:space="0"/>
              <w:right w:val="single" w:color="auto" w:sz="4" w:space="0"/>
            </w:tcBorders>
            <w:vAlign w:val="center"/>
          </w:tcPr>
          <w:p w14:paraId="4B37712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ACAD630">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15.3.2</w:t>
            </w:r>
          </w:p>
        </w:tc>
        <w:tc>
          <w:tcPr>
            <w:tcW w:w="5925" w:type="dxa"/>
            <w:tcBorders>
              <w:top w:val="single" w:color="auto" w:sz="4" w:space="0"/>
              <w:left w:val="single" w:color="auto" w:sz="4" w:space="0"/>
              <w:bottom w:val="single" w:color="auto" w:sz="4" w:space="0"/>
              <w:right w:val="single" w:color="auto" w:sz="4" w:space="0"/>
            </w:tcBorders>
          </w:tcPr>
          <w:p w14:paraId="696655E6">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15.3.2上传成功但解密失败或读取失败的“开标一览表”，其投标人的投标无效。</w:t>
            </w:r>
          </w:p>
        </w:tc>
      </w:tr>
      <w:tr w14:paraId="2AEF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77ED85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13</w:t>
            </w:r>
          </w:p>
        </w:tc>
        <w:tc>
          <w:tcPr>
            <w:tcW w:w="696" w:type="dxa"/>
            <w:tcBorders>
              <w:top w:val="single" w:color="auto" w:sz="4" w:space="0"/>
              <w:left w:val="single" w:color="auto" w:sz="4" w:space="0"/>
              <w:bottom w:val="single" w:color="auto" w:sz="4" w:space="0"/>
              <w:right w:val="single" w:color="auto" w:sz="4" w:space="0"/>
            </w:tcBorders>
            <w:vAlign w:val="center"/>
          </w:tcPr>
          <w:p w14:paraId="2EA5E01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7007E30">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15.3.3</w:t>
            </w:r>
          </w:p>
        </w:tc>
        <w:tc>
          <w:tcPr>
            <w:tcW w:w="5925" w:type="dxa"/>
            <w:tcBorders>
              <w:top w:val="single" w:color="auto" w:sz="4" w:space="0"/>
              <w:left w:val="single" w:color="auto" w:sz="4" w:space="0"/>
              <w:bottom w:val="single" w:color="auto" w:sz="4" w:space="0"/>
              <w:right w:val="single" w:color="auto" w:sz="4" w:space="0"/>
            </w:tcBorders>
          </w:tcPr>
          <w:p w14:paraId="6C8E1216">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15.3.3若由于投标人未按开标一览表模板制作导致招标代理机构公布其开标一览表时其表格内容无法显示的，视为读取失败，该投标人的投标无效。</w:t>
            </w:r>
          </w:p>
        </w:tc>
      </w:tr>
      <w:tr w14:paraId="5992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39B0F4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14</w:t>
            </w:r>
          </w:p>
        </w:tc>
        <w:tc>
          <w:tcPr>
            <w:tcW w:w="696" w:type="dxa"/>
            <w:tcBorders>
              <w:top w:val="single" w:color="auto" w:sz="4" w:space="0"/>
              <w:left w:val="single" w:color="auto" w:sz="4" w:space="0"/>
              <w:bottom w:val="single" w:color="auto" w:sz="4" w:space="0"/>
              <w:right w:val="single" w:color="auto" w:sz="4" w:space="0"/>
            </w:tcBorders>
            <w:vAlign w:val="center"/>
          </w:tcPr>
          <w:p w14:paraId="12AAF4E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1008E435">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w:t>
            </w:r>
          </w:p>
        </w:tc>
        <w:tc>
          <w:tcPr>
            <w:tcW w:w="5925" w:type="dxa"/>
            <w:tcBorders>
              <w:top w:val="single" w:color="auto" w:sz="4" w:space="0"/>
              <w:left w:val="single" w:color="auto" w:sz="4" w:space="0"/>
              <w:bottom w:val="single" w:color="auto" w:sz="4" w:space="0"/>
              <w:right w:val="single" w:color="auto" w:sz="4" w:space="0"/>
            </w:tcBorders>
          </w:tcPr>
          <w:p w14:paraId="1E52A240">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17.投标人任何试图影响评委会对投标文件的评估、比较或者推荐候选人的行为，都将导致其投标按照无效投标处理，并被没收投标保证金。</w:t>
            </w:r>
          </w:p>
        </w:tc>
      </w:tr>
      <w:tr w14:paraId="50FF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187237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15</w:t>
            </w:r>
          </w:p>
        </w:tc>
        <w:tc>
          <w:tcPr>
            <w:tcW w:w="696" w:type="dxa"/>
            <w:tcBorders>
              <w:top w:val="single" w:color="auto" w:sz="4" w:space="0"/>
              <w:left w:val="single" w:color="auto" w:sz="4" w:space="0"/>
              <w:bottom w:val="single" w:color="auto" w:sz="4" w:space="0"/>
              <w:right w:val="single" w:color="auto" w:sz="4" w:space="0"/>
            </w:tcBorders>
            <w:vAlign w:val="center"/>
          </w:tcPr>
          <w:p w14:paraId="67EBA12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035D852">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17.2</w:t>
            </w:r>
          </w:p>
        </w:tc>
        <w:tc>
          <w:tcPr>
            <w:tcW w:w="5925" w:type="dxa"/>
            <w:tcBorders>
              <w:top w:val="single" w:color="auto" w:sz="4" w:space="0"/>
              <w:left w:val="single" w:color="auto" w:sz="4" w:space="0"/>
              <w:bottom w:val="single" w:color="auto" w:sz="4" w:space="0"/>
              <w:right w:val="single" w:color="auto" w:sz="4" w:space="0"/>
            </w:tcBorders>
          </w:tcPr>
          <w:p w14:paraId="75F2DAD1">
            <w:pPr>
              <w:spacing w:line="360" w:lineRule="auto"/>
              <w:ind w:firstLine="480"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17.2</w:t>
            </w:r>
            <w:r>
              <w:rPr>
                <w:rFonts w:hint="eastAsia" w:ascii="宋体" w:hAnsi="宋体" w:cs="宋体"/>
                <w:b/>
                <w:color w:val="000000" w:themeColor="text1"/>
                <w:sz w:val="24"/>
                <w:szCs w:val="24"/>
                <w14:textFill>
                  <w14:solidFill>
                    <w14:schemeClr w14:val="tx1"/>
                  </w14:solidFill>
                </w14:textFill>
              </w:rPr>
              <w:t>如果投标人不接受按上述方法对投标文件中的算术错误进行更正，其投标将按照无效投标处理并被没收投标保证金。</w:t>
            </w:r>
          </w:p>
        </w:tc>
      </w:tr>
      <w:tr w14:paraId="2F26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E4A02A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16</w:t>
            </w:r>
          </w:p>
        </w:tc>
        <w:tc>
          <w:tcPr>
            <w:tcW w:w="696" w:type="dxa"/>
            <w:tcBorders>
              <w:top w:val="single" w:color="auto" w:sz="4" w:space="0"/>
              <w:left w:val="single" w:color="auto" w:sz="4" w:space="0"/>
              <w:bottom w:val="single" w:color="auto" w:sz="4" w:space="0"/>
              <w:right w:val="single" w:color="auto" w:sz="4" w:space="0"/>
            </w:tcBorders>
            <w:vAlign w:val="center"/>
          </w:tcPr>
          <w:p w14:paraId="6E2AE791">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80653F7">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17.3.2</w:t>
            </w:r>
          </w:p>
        </w:tc>
        <w:tc>
          <w:tcPr>
            <w:tcW w:w="5925" w:type="dxa"/>
            <w:tcBorders>
              <w:top w:val="single" w:color="auto" w:sz="4" w:space="0"/>
              <w:left w:val="single" w:color="auto" w:sz="4" w:space="0"/>
              <w:bottom w:val="single" w:color="auto" w:sz="4" w:space="0"/>
              <w:right w:val="single" w:color="auto" w:sz="4" w:space="0"/>
            </w:tcBorders>
          </w:tcPr>
          <w:p w14:paraId="3A1792F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15BBCA0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 未按规定提交投标保证金的；</w:t>
            </w:r>
          </w:p>
          <w:p w14:paraId="1760DD5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(2)投标有效期不满足招标文件要求的；</w:t>
            </w:r>
          </w:p>
          <w:p w14:paraId="70655D4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(3)投标内容与招标内容及要求有重大偏离或保留的；</w:t>
            </w:r>
          </w:p>
          <w:p w14:paraId="77EE65E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(4)投标人提交的是可选择的报价；</w:t>
            </w:r>
          </w:p>
          <w:p w14:paraId="778246D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(5)投标人未按招标文件要求对投标进行分项报价；</w:t>
            </w:r>
          </w:p>
          <w:p w14:paraId="16CB141F">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(6)投标文件中提供虚假或失实资料的；</w:t>
            </w:r>
          </w:p>
          <w:p w14:paraId="24C6877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(7)不符合招标文件中规定的其它实质性条款。 </w:t>
            </w:r>
          </w:p>
          <w:p w14:paraId="3CF5066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评标委员会决定投标的响应性只根据投标文件本身的内容，而不寻求其他的外部证据。</w:t>
            </w:r>
          </w:p>
        </w:tc>
      </w:tr>
      <w:tr w14:paraId="778F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0A3DD5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17</w:t>
            </w:r>
          </w:p>
        </w:tc>
        <w:tc>
          <w:tcPr>
            <w:tcW w:w="696" w:type="dxa"/>
            <w:tcBorders>
              <w:top w:val="single" w:color="auto" w:sz="4" w:space="0"/>
              <w:left w:val="single" w:color="auto" w:sz="4" w:space="0"/>
              <w:bottom w:val="single" w:color="auto" w:sz="4" w:space="0"/>
              <w:right w:val="single" w:color="auto" w:sz="4" w:space="0"/>
            </w:tcBorders>
            <w:vAlign w:val="center"/>
          </w:tcPr>
          <w:p w14:paraId="7B8E278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6A84D1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17.3.3</w:t>
            </w:r>
          </w:p>
        </w:tc>
        <w:tc>
          <w:tcPr>
            <w:tcW w:w="5925" w:type="dxa"/>
            <w:tcBorders>
              <w:top w:val="single" w:color="auto" w:sz="4" w:space="0"/>
              <w:left w:val="single" w:color="auto" w:sz="4" w:space="0"/>
              <w:bottom w:val="single" w:color="auto" w:sz="4" w:space="0"/>
              <w:right w:val="single" w:color="auto" w:sz="4" w:space="0"/>
            </w:tcBorders>
          </w:tcPr>
          <w:p w14:paraId="55C98FB2">
            <w:pPr>
              <w:spacing w:line="360" w:lineRule="auto"/>
              <w:ind w:firstLine="482"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17.3.3投标产品必须满足中华人民共和国相关法律法规及行业的强制性要求，否则该投标人的投标将按照无效投标处理。</w:t>
            </w:r>
          </w:p>
        </w:tc>
      </w:tr>
      <w:tr w14:paraId="2039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D5767E2">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18</w:t>
            </w:r>
          </w:p>
        </w:tc>
        <w:tc>
          <w:tcPr>
            <w:tcW w:w="696" w:type="dxa"/>
            <w:tcBorders>
              <w:top w:val="single" w:color="auto" w:sz="4" w:space="0"/>
              <w:left w:val="single" w:color="auto" w:sz="4" w:space="0"/>
              <w:bottom w:val="single" w:color="auto" w:sz="4" w:space="0"/>
              <w:right w:val="single" w:color="auto" w:sz="4" w:space="0"/>
            </w:tcBorders>
            <w:vAlign w:val="center"/>
          </w:tcPr>
          <w:p w14:paraId="1794EC7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E72567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17.3.4</w:t>
            </w:r>
          </w:p>
        </w:tc>
        <w:tc>
          <w:tcPr>
            <w:tcW w:w="5925" w:type="dxa"/>
            <w:tcBorders>
              <w:top w:val="single" w:color="auto" w:sz="4" w:space="0"/>
              <w:left w:val="single" w:color="auto" w:sz="4" w:space="0"/>
              <w:bottom w:val="single" w:color="auto" w:sz="4" w:space="0"/>
              <w:right w:val="single" w:color="auto" w:sz="4" w:space="0"/>
            </w:tcBorders>
            <w:vAlign w:val="center"/>
          </w:tcPr>
          <w:p w14:paraId="353FE2E0">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17.3.4投标人以他人名义投标或使用自己的数字证书上传其他投标人的投标文件，</w:t>
            </w:r>
            <w:r>
              <w:rPr>
                <w:rFonts w:hint="eastAsia" w:ascii="宋体" w:hAnsi="宋体" w:cs="宋体"/>
                <w:b/>
                <w:color w:val="000000" w:themeColor="text1"/>
                <w:kern w:val="0"/>
                <w:sz w:val="24"/>
                <w:szCs w:val="24"/>
                <w14:textFill>
                  <w14:solidFill>
                    <w14:schemeClr w14:val="tx1"/>
                  </w14:solidFill>
                </w14:textFill>
              </w:rPr>
              <w:t>则</w:t>
            </w:r>
            <w:r>
              <w:rPr>
                <w:rFonts w:hint="eastAsia" w:ascii="宋体" w:hAnsi="宋体" w:cs="宋体"/>
                <w:b/>
                <w:color w:val="000000" w:themeColor="text1"/>
                <w:sz w:val="24"/>
                <w:szCs w:val="24"/>
                <w14:textFill>
                  <w14:solidFill>
                    <w14:schemeClr w14:val="tx1"/>
                  </w14:solidFill>
                </w14:textFill>
              </w:rPr>
              <w:t>该投标人的投标将按照无效投标处理。</w:t>
            </w:r>
          </w:p>
        </w:tc>
      </w:tr>
      <w:tr w14:paraId="580F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vAlign w:val="center"/>
          </w:tcPr>
          <w:p w14:paraId="5A6BFE1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19</w:t>
            </w:r>
          </w:p>
        </w:tc>
        <w:tc>
          <w:tcPr>
            <w:tcW w:w="696" w:type="dxa"/>
            <w:tcBorders>
              <w:top w:val="single" w:color="auto" w:sz="4" w:space="0"/>
            </w:tcBorders>
            <w:vAlign w:val="center"/>
          </w:tcPr>
          <w:p w14:paraId="51163526">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tcBorders>
              <w:top w:val="single" w:color="auto" w:sz="4" w:space="0"/>
            </w:tcBorders>
            <w:vAlign w:val="center"/>
          </w:tcPr>
          <w:p w14:paraId="4B2D228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17.3.5</w:t>
            </w:r>
          </w:p>
        </w:tc>
        <w:tc>
          <w:tcPr>
            <w:tcW w:w="5925" w:type="dxa"/>
            <w:tcBorders>
              <w:top w:val="single" w:color="auto" w:sz="4" w:space="0"/>
            </w:tcBorders>
            <w:vAlign w:val="center"/>
          </w:tcPr>
          <w:p w14:paraId="6CAFF864">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17.3.5采购单位（或使用单位）、招标代理机构有下列情形之一的，将被认定为采购单位（或使用单位）、招标代理机构与投标人有串通投标行为，该投标人投标作无效投标处理：</w:t>
            </w:r>
          </w:p>
          <w:p w14:paraId="44918E8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（1）在开标前开启投标文件并将有关信息泄露给其他投标人;</w:t>
            </w:r>
          </w:p>
          <w:p w14:paraId="069821A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（2）评审结果公告前，直接或者间接向投标人泄露评标委员会成员等信息；</w:t>
            </w:r>
          </w:p>
          <w:p w14:paraId="0818A2D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（3）明示或者暗示投标人压低或者抬高投标报价；</w:t>
            </w:r>
          </w:p>
          <w:p w14:paraId="5724405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（4）授意投标人撤换、修改投标文件（按18条进行的澄清除外）；</w:t>
            </w:r>
          </w:p>
          <w:p w14:paraId="631F5C5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（5）明示或者暗示投标人为特定投标人中标提供方便；</w:t>
            </w:r>
          </w:p>
          <w:p w14:paraId="7CB1C89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（6）为谋求特定投标人中标而采取的其他串通行为。</w:t>
            </w:r>
          </w:p>
        </w:tc>
      </w:tr>
      <w:tr w14:paraId="5342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3B7D8D2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w:t>
            </w:r>
          </w:p>
        </w:tc>
        <w:tc>
          <w:tcPr>
            <w:tcW w:w="696" w:type="dxa"/>
            <w:vAlign w:val="center"/>
          </w:tcPr>
          <w:p w14:paraId="67ECCD0E">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vAlign w:val="center"/>
          </w:tcPr>
          <w:p w14:paraId="1C6AD0E7">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17.3.6</w:t>
            </w:r>
          </w:p>
        </w:tc>
        <w:tc>
          <w:tcPr>
            <w:tcW w:w="5925" w:type="dxa"/>
            <w:vAlign w:val="center"/>
          </w:tcPr>
          <w:p w14:paraId="36F11004">
            <w:pPr>
              <w:spacing w:line="360" w:lineRule="auto"/>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17.3.6出现17.3.4、17.3.5情形之一的，作无效投标处理的</w:t>
            </w:r>
            <w:r>
              <w:rPr>
                <w:rFonts w:hint="eastAsia" w:ascii="宋体" w:hAnsi="宋体" w:cs="宋体"/>
                <w:b/>
                <w:color w:val="000000" w:themeColor="text1"/>
                <w:sz w:val="24"/>
                <w:szCs w:val="24"/>
                <w14:textFill>
                  <w14:solidFill>
                    <w14:schemeClr w14:val="tx1"/>
                  </w14:solidFill>
                </w14:textFill>
              </w:rPr>
              <w:t>投标人的投标保证金将予以没收，招标代理机构有权上报财政部门取消其采购供应商资格、并按有关规定予以处罚。</w:t>
            </w:r>
          </w:p>
        </w:tc>
      </w:tr>
      <w:tr w14:paraId="7358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789E344">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w:t>
            </w:r>
          </w:p>
        </w:tc>
        <w:tc>
          <w:tcPr>
            <w:tcW w:w="696" w:type="dxa"/>
            <w:vAlign w:val="center"/>
          </w:tcPr>
          <w:p w14:paraId="4B82C127">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vAlign w:val="center"/>
          </w:tcPr>
          <w:p w14:paraId="1F48F538">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19.3</w:t>
            </w:r>
          </w:p>
        </w:tc>
        <w:tc>
          <w:tcPr>
            <w:tcW w:w="5925" w:type="dxa"/>
            <w:vAlign w:val="center"/>
          </w:tcPr>
          <w:p w14:paraId="46B771CA">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218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05145132">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w:t>
            </w:r>
          </w:p>
        </w:tc>
        <w:tc>
          <w:tcPr>
            <w:tcW w:w="696" w:type="dxa"/>
            <w:vAlign w:val="center"/>
          </w:tcPr>
          <w:p w14:paraId="2CB6CE8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w:t>
            </w:r>
          </w:p>
        </w:tc>
        <w:tc>
          <w:tcPr>
            <w:tcW w:w="1422" w:type="dxa"/>
            <w:vAlign w:val="center"/>
          </w:tcPr>
          <w:p w14:paraId="479E51C9">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22</w:t>
            </w:r>
          </w:p>
        </w:tc>
        <w:tc>
          <w:tcPr>
            <w:tcW w:w="5925" w:type="dxa"/>
            <w:vAlign w:val="center"/>
          </w:tcPr>
          <w:p w14:paraId="7F2A48A5">
            <w:pPr>
              <w:spacing w:line="360" w:lineRule="auto"/>
              <w:ind w:firstLine="480"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000000" w:themeColor="text1"/>
                <w:sz w:val="24"/>
                <w:szCs w:val="24"/>
                <w14:textFill>
                  <w14:solidFill>
                    <w14:schemeClr w14:val="tx1"/>
                  </w14:solidFill>
                </w14:textFill>
              </w:rPr>
              <w:t>否则作无效投标处理。</w:t>
            </w:r>
            <w:r>
              <w:rPr>
                <w:rFonts w:hint="eastAsia" w:ascii="宋体" w:hAnsi="宋体" w:cs="宋体"/>
                <w:color w:val="000000" w:themeColor="text1"/>
                <w:sz w:val="24"/>
                <w:szCs w:val="24"/>
                <w14:textFill>
                  <w14:solidFill>
                    <w14:schemeClr w14:val="tx1"/>
                  </w14:solidFill>
                </w14:textFill>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p>
        </w:tc>
      </w:tr>
      <w:tr w14:paraId="76C3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1E082C65">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23</w:t>
            </w:r>
          </w:p>
        </w:tc>
        <w:tc>
          <w:tcPr>
            <w:tcW w:w="696" w:type="dxa"/>
            <w:vAlign w:val="center"/>
          </w:tcPr>
          <w:p w14:paraId="5DE554D1">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vAlign w:val="center"/>
          </w:tcPr>
          <w:p w14:paraId="5B6A7F2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vAlign w:val="center"/>
          </w:tcPr>
          <w:p w14:paraId="4BC20CB2">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投标人如果为联合体投标，则必须同时满足下列要求，否则</w:t>
            </w:r>
            <w:r>
              <w:rPr>
                <w:rFonts w:hint="eastAsia" w:ascii="宋体" w:hAnsi="宋体" w:cs="宋体"/>
                <w:color w:val="000000" w:themeColor="text1"/>
                <w:sz w:val="24"/>
                <w:szCs w:val="24"/>
                <w14:textFill>
                  <w14:solidFill>
                    <w14:schemeClr w14:val="tx1"/>
                  </w14:solidFill>
                </w14:textFill>
              </w:rPr>
              <w:t>该投标人的投标将按照无效投标处理</w:t>
            </w:r>
            <w:r>
              <w:rPr>
                <w:rFonts w:hint="eastAsia" w:ascii="宋体" w:hAnsi="宋体" w:cs="宋体"/>
                <w:bCs/>
                <w:color w:val="000000" w:themeColor="text1"/>
                <w:sz w:val="24"/>
                <w:szCs w:val="24"/>
                <w14:textFill>
                  <w14:solidFill>
                    <w14:schemeClr w14:val="tx1"/>
                  </w14:solidFill>
                </w14:textFill>
              </w:rPr>
              <w:t>：</w:t>
            </w:r>
          </w:p>
          <w:p w14:paraId="486172A2">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①在开标一览表中注明是否联合体投标、联合体组成单位；</w:t>
            </w:r>
          </w:p>
          <w:p w14:paraId="00FC0535">
            <w:pPr>
              <w:spacing w:line="360" w:lineRule="auto"/>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②在投标文件中提供各方盖章签署的共同投标协议扫描件。</w:t>
            </w:r>
          </w:p>
        </w:tc>
      </w:tr>
      <w:tr w14:paraId="22F2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213EB7C">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24</w:t>
            </w:r>
          </w:p>
        </w:tc>
        <w:tc>
          <w:tcPr>
            <w:tcW w:w="696" w:type="dxa"/>
            <w:vAlign w:val="center"/>
          </w:tcPr>
          <w:p w14:paraId="71AD2132">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vAlign w:val="center"/>
          </w:tcPr>
          <w:p w14:paraId="2C26F09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vAlign w:val="center"/>
          </w:tcPr>
          <w:p w14:paraId="1EB8080B">
            <w:pPr>
              <w:spacing w:line="360" w:lineRule="auto"/>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投标文件中不得附有采购单位（或使用单位）不能接受的条款，</w:t>
            </w:r>
            <w:r>
              <w:rPr>
                <w:rFonts w:hint="eastAsia" w:ascii="宋体" w:hAnsi="宋体" w:cs="宋体"/>
                <w:color w:val="000000" w:themeColor="text1"/>
                <w:sz w:val="24"/>
                <w:szCs w:val="24"/>
                <w14:textFill>
                  <w14:solidFill>
                    <w14:schemeClr w14:val="tx1"/>
                  </w14:solidFill>
                </w14:textFill>
              </w:rPr>
              <w:t>否则该投标人的投标将按照无效投标处理。</w:t>
            </w:r>
          </w:p>
        </w:tc>
      </w:tr>
      <w:tr w14:paraId="4400D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75041829">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25</w:t>
            </w:r>
          </w:p>
        </w:tc>
        <w:tc>
          <w:tcPr>
            <w:tcW w:w="696" w:type="dxa"/>
            <w:vAlign w:val="center"/>
          </w:tcPr>
          <w:p w14:paraId="57B60194">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p>
        </w:tc>
        <w:tc>
          <w:tcPr>
            <w:tcW w:w="1422" w:type="dxa"/>
            <w:vAlign w:val="center"/>
          </w:tcPr>
          <w:p w14:paraId="7A15DD2C">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5925" w:type="dxa"/>
            <w:vAlign w:val="center"/>
          </w:tcPr>
          <w:p w14:paraId="116D350A">
            <w:pPr>
              <w:pStyle w:val="2"/>
              <w:snapToGrid w:val="0"/>
              <w:spacing w:line="360" w:lineRule="auto"/>
              <w:ind w:firstLine="0"/>
              <w:jc w:val="left"/>
              <w:rPr>
                <w:rFonts w:hint="eastAsia" w:ascii="宋体" w:hAnsi="宋体" w:cs="宋体"/>
                <w:b/>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本项目以合同包为单位，对于每个合同包，投标人必须完整地提供合同包要求的所有货物和服务，否则</w:t>
            </w:r>
            <w:r>
              <w:rPr>
                <w:rFonts w:hint="eastAsia" w:ascii="宋体" w:hAnsi="宋体" w:cs="宋体"/>
                <w:color w:val="000000" w:themeColor="text1"/>
                <w:sz w:val="24"/>
                <w:szCs w:val="24"/>
                <w14:textFill>
                  <w14:solidFill>
                    <w14:schemeClr w14:val="tx1"/>
                  </w14:solidFill>
                </w14:textFill>
              </w:rPr>
              <w:t>该投标人针对该合同包的投标将按照无效投标处理</w:t>
            </w:r>
            <w:r>
              <w:rPr>
                <w:rFonts w:hint="eastAsia" w:ascii="宋体" w:hAnsi="宋体" w:cs="宋体"/>
                <w:bCs/>
                <w:color w:val="000000" w:themeColor="text1"/>
                <w:sz w:val="24"/>
                <w:szCs w:val="24"/>
                <w14:textFill>
                  <w14:solidFill>
                    <w14:schemeClr w14:val="tx1"/>
                  </w14:solidFill>
                </w14:textFill>
              </w:rPr>
              <w:t>。</w:t>
            </w:r>
          </w:p>
        </w:tc>
      </w:tr>
      <w:tr w14:paraId="22BF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7AA69BB9">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26</w:t>
            </w:r>
          </w:p>
        </w:tc>
        <w:tc>
          <w:tcPr>
            <w:tcW w:w="696" w:type="dxa"/>
            <w:vAlign w:val="center"/>
          </w:tcPr>
          <w:p w14:paraId="1B552045">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1422" w:type="dxa"/>
            <w:vAlign w:val="center"/>
          </w:tcPr>
          <w:p w14:paraId="6E5CCA38">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5925" w:type="dxa"/>
            <w:vAlign w:val="center"/>
          </w:tcPr>
          <w:p w14:paraId="46531C46">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投标人应对其在投标文件中声明的关于中小企业事项的真实性负责，存在以下情形之一的，经评标委员会查实，应认定存在虚假的：</w:t>
            </w:r>
          </w:p>
          <w:p w14:paraId="07E59E37">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（1）投标人（包括联合体任一方）不符合“工信部联企业[2011]300号”规定的中小企业标准的；</w:t>
            </w:r>
          </w:p>
          <w:p w14:paraId="03213FBB">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（2）投标货物全部或部分为使用大型企业注册商标的货物的；</w:t>
            </w:r>
          </w:p>
          <w:p w14:paraId="340CAEAF">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（3）投标文件中标明的小型或微型企业产品的制造商不符合“工信部联企业[2011]300号”规定的小型和微型企业标准的。</w:t>
            </w:r>
          </w:p>
          <w:p w14:paraId="19091619">
            <w:pPr>
              <w:pStyle w:val="2"/>
              <w:snapToGrid w:val="0"/>
              <w:spacing w:line="360" w:lineRule="auto"/>
              <w:ind w:firstLine="0"/>
              <w:jc w:val="left"/>
              <w:rPr>
                <w:rFonts w:hint="eastAsia" w:ascii="宋体" w:hAnsi="宋体" w:cs="宋体"/>
                <w:b/>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在评审过程中发现上述虚假情形的，该投标人的投标作无效投标处理。</w:t>
            </w:r>
          </w:p>
        </w:tc>
      </w:tr>
      <w:tr w14:paraId="4A73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1147E5F7">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27</w:t>
            </w:r>
          </w:p>
        </w:tc>
        <w:tc>
          <w:tcPr>
            <w:tcW w:w="696" w:type="dxa"/>
            <w:vAlign w:val="center"/>
          </w:tcPr>
          <w:p w14:paraId="4FEF9517">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1422" w:type="dxa"/>
            <w:vAlign w:val="center"/>
          </w:tcPr>
          <w:p w14:paraId="52F97D8A">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5925" w:type="dxa"/>
            <w:vAlign w:val="center"/>
          </w:tcPr>
          <w:p w14:paraId="68E55763">
            <w:pPr>
              <w:pStyle w:val="2"/>
              <w:snapToGrid w:val="0"/>
              <w:spacing w:line="360" w:lineRule="auto"/>
              <w:ind w:firstLine="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全免交纳投标保证金的投标人未按照招标文件格式要求在投标文件中提供《中小企业声明函》的，其投标作无效投标处理。</w:t>
            </w:r>
          </w:p>
        </w:tc>
      </w:tr>
      <w:tr w14:paraId="3172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35B8EA50">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28</w:t>
            </w:r>
          </w:p>
        </w:tc>
        <w:tc>
          <w:tcPr>
            <w:tcW w:w="696" w:type="dxa"/>
            <w:tcBorders>
              <w:bottom w:val="single" w:color="auto" w:sz="4" w:space="0"/>
            </w:tcBorders>
            <w:vAlign w:val="center"/>
          </w:tcPr>
          <w:p w14:paraId="309FF43A">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2A1CCF91">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2BA0B444">
            <w:pPr>
              <w:pStyle w:val="2"/>
              <w:snapToGrid w:val="0"/>
              <w:spacing w:line="360" w:lineRule="auto"/>
              <w:ind w:firstLine="0"/>
              <w:rPr>
                <w:rFonts w:hint="eastAsia" w:ascii="宋体" w:hAnsi="宋体" w:cs="宋体"/>
                <w:b/>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投标人应按照招标文件格式要求在投标文件中提供《廉洁承诺书》原件扫描件（投标人为联合体的，联合体各方均应提供《廉洁承诺书》原件扫描件），否则作无效投标处理。</w:t>
            </w:r>
          </w:p>
        </w:tc>
      </w:tr>
      <w:tr w14:paraId="588B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055C3B59">
            <w:pPr>
              <w:pStyle w:val="2"/>
              <w:snapToGrid w:val="0"/>
              <w:spacing w:line="360" w:lineRule="auto"/>
              <w:ind w:firstLine="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29</w:t>
            </w:r>
          </w:p>
        </w:tc>
        <w:tc>
          <w:tcPr>
            <w:tcW w:w="696" w:type="dxa"/>
            <w:tcBorders>
              <w:bottom w:val="single" w:color="auto" w:sz="4" w:space="0"/>
            </w:tcBorders>
            <w:vAlign w:val="center"/>
          </w:tcPr>
          <w:p w14:paraId="4BF8BD0B">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058C4B22">
            <w:pPr>
              <w:pStyle w:val="2"/>
              <w:snapToGrid w:val="0"/>
              <w:spacing w:line="360" w:lineRule="auto"/>
              <w:ind w:firstLine="0"/>
              <w:jc w:val="center"/>
              <w:rPr>
                <w:rFonts w:hint="eastAsia" w:ascii="宋体" w:hAnsi="宋体" w:cs="宋体"/>
                <w:b/>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2678CB1F">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其他不满足招标文件要求经评标委员会认定须作无效投标处理的。</w:t>
            </w:r>
          </w:p>
        </w:tc>
      </w:tr>
      <w:tr w14:paraId="279F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3A9890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30</w:t>
            </w:r>
          </w:p>
        </w:tc>
        <w:tc>
          <w:tcPr>
            <w:tcW w:w="696" w:type="dxa"/>
            <w:tcBorders>
              <w:bottom w:val="single" w:color="auto" w:sz="4" w:space="0"/>
            </w:tcBorders>
            <w:vAlign w:val="center"/>
          </w:tcPr>
          <w:p w14:paraId="4DF79686">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71B8EE48">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2F7937ED">
            <w:pPr>
              <w:pStyle w:val="17"/>
              <w:spacing w:line="360" w:lineRule="auto"/>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775A0C1C">
            <w:pPr>
              <w:spacing w:line="360" w:lineRule="auto"/>
              <w:rPr>
                <w:rFonts w:hint="eastAsia" w:ascii="宋体" w:hAnsi="宋体" w:cs="宋体"/>
                <w:color w:val="000000" w:themeColor="text1"/>
                <w:sz w:val="24"/>
                <w:szCs w:val="24"/>
                <w14:textFill>
                  <w14:solidFill>
                    <w14:schemeClr w14:val="tx1"/>
                  </w14:solidFill>
                </w14:textFill>
              </w:rPr>
            </w:pPr>
          </w:p>
        </w:tc>
      </w:tr>
      <w:tr w14:paraId="228A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5D1E364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Borders>
              <w:bottom w:val="single" w:color="auto" w:sz="4" w:space="0"/>
            </w:tcBorders>
            <w:vAlign w:val="center"/>
          </w:tcPr>
          <w:p w14:paraId="733343BB">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237CD30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w:t>
            </w:r>
          </w:p>
        </w:tc>
        <w:tc>
          <w:tcPr>
            <w:tcW w:w="5925" w:type="dxa"/>
            <w:tcBorders>
              <w:bottom w:val="single" w:color="auto" w:sz="4" w:space="0"/>
            </w:tcBorders>
            <w:vAlign w:val="center"/>
          </w:tcPr>
          <w:p w14:paraId="4BF471DC">
            <w:pPr>
              <w:spacing w:line="360" w:lineRule="auto"/>
              <w:rPr>
                <w:rFonts w:hint="eastAsia" w:ascii="宋体" w:hAnsi="宋体" w:cs="宋体"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序号1大厦之门：P2.5柔性LED显示屏：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三合一封装，点间距≤2.5mm，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2D1B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2FEFB22">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Borders>
              <w:bottom w:val="single" w:color="auto" w:sz="4" w:space="0"/>
            </w:tcBorders>
            <w:vAlign w:val="center"/>
          </w:tcPr>
          <w:p w14:paraId="6012FE5E">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5AB8C160">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1540C62E">
            <w:pPr>
              <w:spacing w:line="360" w:lineRule="auto"/>
              <w:rPr>
                <w:rFonts w:hint="eastAsia" w:ascii="宋体" w:hAnsi="宋体" w:cs="宋体" w:eastAsiaTheme="minorEastAsia"/>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序号7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山海之境：P1.8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50B0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5C26905F">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Borders>
              <w:bottom w:val="single" w:color="auto" w:sz="4" w:space="0"/>
            </w:tcBorders>
            <w:vAlign w:val="center"/>
          </w:tcPr>
          <w:p w14:paraId="516DE8DA">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6E0FCF97">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09321BCE">
            <w:pPr>
              <w:spacing w:line="360" w:lineRule="auto"/>
              <w:rPr>
                <w:rFonts w:hint="eastAsia" w:ascii="宋体" w:hAnsi="宋体" w:cs="宋体" w:eastAsiaTheme="minorEastAsia"/>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序号13</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总规沙盘：P3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★5.显示屏类型：封装方式采用SMD 三合一封装，点间距≤3.1mm，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3A15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75568052">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Borders>
              <w:bottom w:val="single" w:color="auto" w:sz="4" w:space="0"/>
            </w:tcBorders>
            <w:vAlign w:val="center"/>
          </w:tcPr>
          <w:p w14:paraId="643E06F6">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63E4C6CA">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25D64515">
            <w:pPr>
              <w:spacing w:line="360" w:lineRule="auto"/>
              <w:rPr>
                <w:rFonts w:hint="eastAsia" w:ascii="宋体" w:hAnsi="宋体" w:cs="宋体" w:eastAsiaTheme="minorEastAsia"/>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序号19</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前言：P1.8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2073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F12B260">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Borders>
              <w:bottom w:val="single" w:color="auto" w:sz="4" w:space="0"/>
            </w:tcBorders>
            <w:vAlign w:val="center"/>
          </w:tcPr>
          <w:p w14:paraId="7C974757">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vAlign w:val="center"/>
          </w:tcPr>
          <w:p w14:paraId="000EDD8F">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bottom w:val="single" w:color="auto" w:sz="4" w:space="0"/>
            </w:tcBorders>
            <w:vAlign w:val="center"/>
          </w:tcPr>
          <w:p w14:paraId="5DDA446F">
            <w:pPr>
              <w:spacing w:line="360" w:lineRule="auto"/>
              <w:rPr>
                <w:rFonts w:hint="eastAsia" w:ascii="宋体" w:hAnsi="宋体" w:cs="宋体" w:eastAsiaTheme="minorEastAsia"/>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序号25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根本遵循：P1.2柔性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三合一封装，点间距≤1.26mm，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49B8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3071EAA0">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45CB723A">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0A727E66">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Pr>
          <w:p w14:paraId="039F74A7">
            <w:pPr>
              <w:spacing w:line="360" w:lineRule="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序号31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时代背景：P1.5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37382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5A7D7C3">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4A855DC1">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567039D2">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Pr>
          <w:p w14:paraId="191C4851">
            <w:pPr>
              <w:spacing w:line="360" w:lineRule="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序号43</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科技创新：P1.5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1BCF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E558F50">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09B4345E">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2315F01C">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Pr>
          <w:p w14:paraId="6D777F58">
            <w:pPr>
              <w:spacing w:line="360" w:lineRule="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序号49</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宏图变胜景：P1.8柔性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p>
        </w:tc>
      </w:tr>
      <w:tr w14:paraId="133E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C4CE5B7">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4E7D22FE">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42A6BBFE">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Pr>
          <w:p w14:paraId="4478F177">
            <w:pPr>
              <w:spacing w:line="360" w:lineRule="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序号61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笃行致远：P1.8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 xml:space="preserve">≥3840Hz；须提供书面承诺函（格式自拟）并加盖公章，否则作无效投标处理。 </w:t>
            </w:r>
          </w:p>
        </w:tc>
      </w:tr>
      <w:tr w14:paraId="7643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07E22DC3">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6F1D78E6">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50BF004F">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Pr>
          <w:p w14:paraId="17FC72F4">
            <w:pPr>
              <w:spacing w:line="360" w:lineRule="auto"/>
              <w:rPr>
                <w:rFonts w:hint="eastAsia" w:ascii="宋体" w:hAnsi="宋体" w:cs="宋体" w:eastAsiaTheme="minorEastAsia"/>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序号67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尾厅结语：P1.5 LED显示屏：</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 xml:space="preserve">≥3840Hz；须提供书面承诺函（格式自拟）并加盖公章，否则作无效投标处理。 </w:t>
            </w:r>
          </w:p>
        </w:tc>
      </w:tr>
      <w:tr w14:paraId="4D372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3C44A18B">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7400645D">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2C7985EB">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四</w:t>
            </w:r>
          </w:p>
        </w:tc>
        <w:tc>
          <w:tcPr>
            <w:tcW w:w="5925" w:type="dxa"/>
          </w:tcPr>
          <w:p w14:paraId="48756242">
            <w:pPr>
              <w:spacing w:line="360" w:lineRule="auto"/>
              <w:rPr>
                <w:rFonts w:hint="eastAsia" w:ascii="宋体" w:hAnsi="宋体" w:cs="宋体"/>
                <w:bCs/>
                <w:color w:val="000000" w:themeColor="text1"/>
                <w:sz w:val="24"/>
                <w:szCs w:val="24"/>
                <w14:textFill>
                  <w14:solidFill>
                    <w14:schemeClr w14:val="tx1"/>
                  </w14:solidFill>
                </w14:textFill>
              </w:rPr>
            </w:pPr>
            <w:r>
              <w:rPr>
                <w:rFonts w:hint="eastAsia"/>
                <w:b/>
                <w:bCs/>
                <w:color w:val="000000" w:themeColor="text1"/>
                <w14:textFill>
                  <w14:solidFill>
                    <w14:schemeClr w14:val="tx1"/>
                  </w14:solidFill>
                </w14:textFill>
              </w:rPr>
              <w:t>★</w:t>
            </w:r>
            <w:r>
              <w:rPr>
                <w:rFonts w:hint="eastAsia" w:asciiTheme="minorEastAsia" w:hAnsiTheme="minorEastAsia" w:eastAsiaTheme="minorEastAsia" w:cstheme="minorEastAsia"/>
                <w:b/>
                <w:color w:val="000000" w:themeColor="text1"/>
                <w:kern w:val="0"/>
                <w:sz w:val="24"/>
                <w:szCs w:val="24"/>
                <w:shd w:val="clear" w:color="auto" w:fill="FFFFFF"/>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投标人保证自验收合格之日起，设备及软件系统至少两年质保，并提供免费上门更换设备及维护服务，所需的费用应包含在总报价中。质保期过后所更换的零配件不高于市场价原则收取。</w:t>
            </w:r>
            <w:r>
              <w:rPr>
                <w:rFonts w:hint="eastAsia" w:ascii="宋体" w:hAnsi="宋体"/>
                <w:b/>
                <w:bCs/>
                <w:color w:val="000000" w:themeColor="text1"/>
                <w:sz w:val="24"/>
                <w:szCs w:val="24"/>
                <w14:textFill>
                  <w14:solidFill>
                    <w14:schemeClr w14:val="tx1"/>
                  </w14:solidFill>
                </w14:textFill>
              </w:rPr>
              <w:t>须提供书面承诺函（格式自拟），否则作无效投标处理。</w:t>
            </w:r>
          </w:p>
        </w:tc>
      </w:tr>
      <w:tr w14:paraId="3A6D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62ED4A53">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541B8DA3">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440E61D3">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五</w:t>
            </w:r>
          </w:p>
        </w:tc>
        <w:tc>
          <w:tcPr>
            <w:tcW w:w="5925" w:type="dxa"/>
          </w:tcPr>
          <w:p w14:paraId="41042AEA">
            <w:pPr>
              <w:widowControl/>
              <w:snapToGrid w:val="0"/>
              <w:spacing w:line="360" w:lineRule="auto"/>
              <w:jc w:val="left"/>
              <w:rPr>
                <w:rFonts w:hint="eastAsia" w:ascii="宋体" w:hAnsi="宋体" w:cs="宋体"/>
                <w:bCs/>
                <w:color w:val="000000" w:themeColor="text1"/>
                <w:sz w:val="24"/>
                <w:szCs w:val="24"/>
                <w14:textFill>
                  <w14:solidFill>
                    <w14:schemeClr w14:val="tx1"/>
                  </w14:solidFill>
                </w14:textFill>
              </w:rPr>
            </w:pPr>
            <w:r>
              <w:rPr>
                <w:rFonts w:hint="eastAsia"/>
                <w:b/>
                <w:bCs/>
                <w:color w:val="000000" w:themeColor="text1"/>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4"/>
                <w:szCs w:val="24"/>
                <w:shd w:val="clear" w:color="auto" w:fill="FFFFFF"/>
                <w14:textFill>
                  <w14:solidFill>
                    <w14:schemeClr w14:val="tx1"/>
                  </w14:solidFill>
                </w14:textFill>
              </w:rPr>
              <w:t>1.必须对使用人员进行培训，并制订培训计划，所需费用应包含在总报价中。</w:t>
            </w:r>
          </w:p>
        </w:tc>
      </w:tr>
      <w:tr w14:paraId="15D8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6C2315D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0307CCE4">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6143A82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六</w:t>
            </w:r>
          </w:p>
        </w:tc>
        <w:tc>
          <w:tcPr>
            <w:tcW w:w="5925" w:type="dxa"/>
          </w:tcPr>
          <w:p w14:paraId="5CE7B07B">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★1.投标人须以人民币报价且总报价应含货物费（含</w:t>
            </w: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LED显示屏备品模组</w:t>
            </w:r>
            <w:r>
              <w:rPr>
                <w:rFonts w:hint="eastAsia" w:ascii="宋体" w:hAnsi="宋体"/>
                <w:b/>
                <w:bCs/>
                <w:color w:val="000000" w:themeColor="text1"/>
                <w:sz w:val="24"/>
                <w:szCs w:val="24"/>
                <w14:textFill>
                  <w14:solidFill>
                    <w14:schemeClr w14:val="tx1"/>
                  </w14:solidFill>
                </w14:textFill>
              </w:rPr>
              <w:t>）、运至采购单位指定地点的运输费、保险费和伴随服务费（包括产品检验检测）、安装调试（包括安装所需的辅材、配件等）费用、部分LED屏体至拼控处理器的光纤收发器、LED屏配电箱至LED屏体的配管配线（在配管配线实施过程中会涉及部分拆改及修复，投标人应自行勘察现场并根据现场实际情况实施到位）、培训费用、税收、招标代理服务费及售后服务等一切费用，报价方式为指定目的地价。采购单位不接受有选择的报价。</w:t>
            </w:r>
            <w:r>
              <w:rPr>
                <w:rFonts w:hint="eastAsia" w:cs="仿宋" w:asciiTheme="minorEastAsia" w:hAnsiTheme="minorEastAsia" w:eastAsiaTheme="minorEastAsia"/>
                <w:b/>
                <w:bCs/>
                <w:color w:val="000000" w:themeColor="text1"/>
                <w:sz w:val="24"/>
                <w:szCs w:val="24"/>
                <w14:textFill>
                  <w14:solidFill>
                    <w14:schemeClr w14:val="tx1"/>
                  </w14:solidFill>
                </w14:textFill>
              </w:rPr>
              <w:t>投标人报价中漏报、少报的费用，视为此项费用已隐含在投标响应报价中，中标后不得再向采购单位收取任何费用。</w:t>
            </w:r>
          </w:p>
        </w:tc>
      </w:tr>
      <w:tr w14:paraId="57BD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0497BAB1">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31667552">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75E8F446">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Pr>
          <w:p w14:paraId="0F6A4BCE">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w:t>
            </w:r>
            <w:r>
              <w:rPr>
                <w:rFonts w:ascii="宋体" w:hAnsi="宋体"/>
                <w:b/>
                <w:bCs/>
                <w:color w:val="000000" w:themeColor="text1"/>
                <w:sz w:val="24"/>
                <w:szCs w:val="24"/>
                <w14:textFill>
                  <w14:solidFill>
                    <w14:schemeClr w14:val="tx1"/>
                  </w14:solidFill>
                </w14:textFill>
              </w:rPr>
              <w:t>2.</w:t>
            </w:r>
            <w:r>
              <w:rPr>
                <w:rFonts w:hint="eastAsia" w:ascii="宋体" w:hAnsi="宋体"/>
                <w:b/>
                <w:bCs/>
                <w:color w:val="000000" w:themeColor="text1"/>
                <w:sz w:val="24"/>
                <w:szCs w:val="24"/>
                <w14:textFill>
                  <w14:solidFill>
                    <w14:schemeClr w14:val="tx1"/>
                  </w14:solidFill>
                </w14:textFill>
              </w:rPr>
              <w:t>本项目采购预算为人民币</w:t>
            </w:r>
            <w:r>
              <w:rPr>
                <w:rFonts w:ascii="宋体" w:hAnsi="宋体"/>
                <w:b/>
                <w:bCs/>
                <w:color w:val="000000" w:themeColor="text1"/>
                <w:sz w:val="24"/>
                <w:szCs w:val="24"/>
                <w14:textFill>
                  <w14:solidFill>
                    <w14:schemeClr w14:val="tx1"/>
                  </w14:solidFill>
                </w14:textFill>
              </w:rPr>
              <w:t>975.7346</w:t>
            </w:r>
            <w:r>
              <w:rPr>
                <w:rFonts w:hint="eastAsia" w:ascii="宋体" w:hAnsi="宋体"/>
                <w:b/>
                <w:bCs/>
                <w:color w:val="000000" w:themeColor="text1"/>
                <w:sz w:val="24"/>
                <w:szCs w:val="24"/>
                <w14:textFill>
                  <w14:solidFill>
                    <w14:schemeClr w14:val="tx1"/>
                  </w14:solidFill>
                </w14:textFill>
              </w:rPr>
              <w:t>万元整</w:t>
            </w:r>
            <w:r>
              <w:rPr>
                <w:rFonts w:ascii="宋体" w:hAnsi="宋体"/>
                <w:b/>
                <w:bCs/>
                <w:color w:val="000000" w:themeColor="text1"/>
                <w:sz w:val="24"/>
                <w:szCs w:val="24"/>
                <w14:textFill>
                  <w14:solidFill>
                    <w14:schemeClr w14:val="tx1"/>
                  </w14:solidFill>
                </w14:textFill>
              </w:rPr>
              <w:t>，</w:t>
            </w:r>
            <w:r>
              <w:rPr>
                <w:rFonts w:hint="eastAsia" w:ascii="宋体" w:hAnsi="宋体"/>
                <w:b/>
                <w:bCs/>
                <w:color w:val="000000" w:themeColor="text1"/>
                <w:spacing w:val="4"/>
                <w:sz w:val="24"/>
                <w:szCs w:val="24"/>
                <w14:textFill>
                  <w14:solidFill>
                    <w14:schemeClr w14:val="tx1"/>
                  </w14:solidFill>
                </w14:textFill>
              </w:rPr>
              <w:t>采购预算为总报价的最高限价，</w:t>
            </w:r>
            <w:r>
              <w:rPr>
                <w:rFonts w:hint="eastAsia" w:ascii="宋体" w:hAnsi="宋体"/>
                <w:b/>
                <w:bCs/>
                <w:color w:val="000000" w:themeColor="text1"/>
                <w:sz w:val="24"/>
                <w:szCs w:val="24"/>
                <w14:textFill>
                  <w14:solidFill>
                    <w14:schemeClr w14:val="tx1"/>
                  </w14:solidFill>
                </w14:textFill>
              </w:rPr>
              <w:t>投标人总报价超过采购预算的属无效投标。</w:t>
            </w:r>
          </w:p>
        </w:tc>
      </w:tr>
      <w:tr w14:paraId="27E4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305A523">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Pr>
          <w:p w14:paraId="085A71AD">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Pr>
          <w:p w14:paraId="37A2ABCF">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十一</w:t>
            </w:r>
          </w:p>
        </w:tc>
        <w:tc>
          <w:tcPr>
            <w:tcW w:w="5925" w:type="dxa"/>
          </w:tcPr>
          <w:p w14:paraId="7F737B8F">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w:t>
            </w:r>
            <w:r>
              <w:rPr>
                <w:rFonts w:ascii="宋体" w:hAnsi="宋体"/>
                <w:b/>
                <w:bCs/>
                <w:color w:val="000000" w:themeColor="text1"/>
                <w:sz w:val="24"/>
                <w:szCs w:val="24"/>
                <w14:textFill>
                  <w14:solidFill>
                    <w14:schemeClr w14:val="tx1"/>
                  </w14:solidFill>
                </w14:textFill>
              </w:rPr>
              <w:t>1.交付使用期：</w:t>
            </w:r>
            <w:r>
              <w:rPr>
                <w:rFonts w:hint="eastAsia" w:ascii="宋体" w:hAnsi="宋体"/>
                <w:b/>
                <w:bCs/>
                <w:color w:val="000000" w:themeColor="text1"/>
                <w:sz w:val="24"/>
                <w:szCs w:val="24"/>
                <w14:textFill>
                  <w14:solidFill>
                    <w14:schemeClr w14:val="tx1"/>
                  </w14:solidFill>
                </w14:textFill>
              </w:rPr>
              <w:t>本项目分为两个部分：</w:t>
            </w:r>
            <w:r>
              <w:rPr>
                <w:rFonts w:ascii="宋体" w:hAnsi="宋体"/>
                <w:b/>
                <w:bCs/>
                <w:color w:val="000000" w:themeColor="text1"/>
                <w:sz w:val="24"/>
                <w:szCs w:val="24"/>
                <w14:textFill>
                  <w14:solidFill>
                    <w14:schemeClr w14:val="tx1"/>
                  </w14:solidFill>
                </w14:textFill>
              </w:rPr>
              <w:fldChar w:fldCharType="begin"/>
            </w:r>
            <w:r>
              <w:rPr>
                <w:rFonts w:ascii="宋体" w:hAnsi="宋体"/>
                <w:b/>
                <w:bCs/>
                <w:color w:val="000000" w:themeColor="text1"/>
                <w:sz w:val="24"/>
                <w:szCs w:val="24"/>
                <w14:textFill>
                  <w14:solidFill>
                    <w14:schemeClr w14:val="tx1"/>
                  </w14:solidFill>
                </w14:textFill>
              </w:rPr>
              <w:instrText xml:space="preserve"> </w:instrText>
            </w:r>
            <w:r>
              <w:rPr>
                <w:rFonts w:hint="eastAsia" w:ascii="宋体" w:hAnsi="宋体"/>
                <w:b/>
                <w:bCs/>
                <w:color w:val="000000" w:themeColor="text1"/>
                <w:sz w:val="24"/>
                <w:szCs w:val="24"/>
                <w14:textFill>
                  <w14:solidFill>
                    <w14:schemeClr w14:val="tx1"/>
                  </w14:solidFill>
                </w14:textFill>
              </w:rPr>
              <w:instrText xml:space="preserve">= 1 \* GB3</w:instrText>
            </w:r>
            <w:r>
              <w:rPr>
                <w:rFonts w:ascii="宋体" w:hAnsi="宋体"/>
                <w:b/>
                <w:bCs/>
                <w:color w:val="000000" w:themeColor="text1"/>
                <w:sz w:val="24"/>
                <w:szCs w:val="24"/>
                <w14:textFill>
                  <w14:solidFill>
                    <w14:schemeClr w14:val="tx1"/>
                  </w14:solidFill>
                </w14:textFill>
              </w:rPr>
              <w:instrText xml:space="preserve"> </w:instrText>
            </w:r>
            <w:r>
              <w:rPr>
                <w:rFonts w:ascii="宋体" w:hAnsi="宋体"/>
                <w:b/>
                <w:bCs/>
                <w:color w:val="000000" w:themeColor="text1"/>
                <w:sz w:val="24"/>
                <w:szCs w:val="24"/>
                <w14:textFill>
                  <w14:solidFill>
                    <w14:schemeClr w14:val="tx1"/>
                  </w14:solidFill>
                </w14:textFill>
              </w:rPr>
              <w:fldChar w:fldCharType="separate"/>
            </w:r>
            <w:r>
              <w:rPr>
                <w:rFonts w:hint="eastAsia" w:ascii="宋体" w:hAnsi="宋体"/>
                <w:b/>
                <w:bCs/>
                <w:color w:val="000000" w:themeColor="text1"/>
                <w:sz w:val="24"/>
                <w:szCs w:val="24"/>
                <w14:textFill>
                  <w14:solidFill>
                    <w14:schemeClr w14:val="tx1"/>
                  </w14:solidFill>
                </w14:textFill>
              </w:rPr>
              <w:t>①</w:t>
            </w:r>
            <w:r>
              <w:rPr>
                <w:rFonts w:ascii="宋体" w:hAnsi="宋体"/>
                <w:b/>
                <w:bCs/>
                <w:color w:val="000000" w:themeColor="text1"/>
                <w:sz w:val="24"/>
                <w:szCs w:val="24"/>
                <w14:textFill>
                  <w14:solidFill>
                    <w14:schemeClr w14:val="tx1"/>
                  </w14:solidFill>
                </w14:textFill>
              </w:rPr>
              <w:fldChar w:fldCharType="end"/>
            </w:r>
            <w:r>
              <w:rPr>
                <w:rFonts w:hint="eastAsia" w:ascii="宋体" w:hAnsi="宋体"/>
                <w:b/>
                <w:bCs/>
                <w:color w:val="000000" w:themeColor="text1"/>
                <w:sz w:val="24"/>
                <w:szCs w:val="24"/>
                <w14:textFill>
                  <w14:solidFill>
                    <w14:schemeClr w14:val="tx1"/>
                  </w14:solidFill>
                </w14:textFill>
              </w:rPr>
              <w:t>前言、根本遵循、时代背景、擎画蓝图、科技创新、宏图变胜景、旧貌新颜、笃行致远、尾厅结语等</w:t>
            </w:r>
            <w:r>
              <w:rPr>
                <w:rFonts w:hint="eastAsia" w:ascii="宋体" w:hAnsi="宋体"/>
                <w:b/>
                <w:bCs/>
                <w:color w:val="000000" w:themeColor="text1"/>
                <w:sz w:val="24"/>
                <w:szCs w:val="24"/>
                <w:lang w:val="en-US" w:eastAsia="zh-CN"/>
                <w14:textFill>
                  <w14:solidFill>
                    <w14:schemeClr w14:val="tx1"/>
                  </w14:solidFill>
                </w14:textFill>
              </w:rPr>
              <w:t>9</w:t>
            </w:r>
            <w:r>
              <w:rPr>
                <w:rFonts w:hint="eastAsia" w:ascii="宋体" w:hAnsi="宋体"/>
                <w:b/>
                <w:bCs/>
                <w:color w:val="000000" w:themeColor="text1"/>
                <w:sz w:val="24"/>
                <w:szCs w:val="24"/>
                <w14:textFill>
                  <w14:solidFill>
                    <w14:schemeClr w14:val="tx1"/>
                  </w14:solidFill>
                </w14:textFill>
              </w:rPr>
              <w:t>个布置在二楼的展项，在合同签订后接使用单位的通知之日起</w:t>
            </w:r>
            <w:r>
              <w:rPr>
                <w:rFonts w:hint="eastAsia" w:ascii="宋体" w:hAnsi="宋体"/>
                <w:b/>
                <w:bCs/>
                <w:color w:val="000000" w:themeColor="text1"/>
                <w:sz w:val="24"/>
                <w:szCs w:val="24"/>
                <w:lang w:val="en-US" w:eastAsia="zh-CN"/>
                <w14:textFill>
                  <w14:solidFill>
                    <w14:schemeClr w14:val="tx1"/>
                  </w14:solidFill>
                </w14:textFill>
              </w:rPr>
              <w:t>12</w:t>
            </w:r>
            <w:r>
              <w:rPr>
                <w:rFonts w:hint="eastAsia" w:ascii="宋体" w:hAnsi="宋体"/>
                <w:b/>
                <w:bCs/>
                <w:color w:val="000000" w:themeColor="text1"/>
                <w:sz w:val="24"/>
                <w:szCs w:val="24"/>
                <w14:textFill>
                  <w14:solidFill>
                    <w14:schemeClr w14:val="tx1"/>
                  </w14:solidFill>
                </w14:textFill>
              </w:rPr>
              <w:t>个日历日内完工并按照使用单位的应用需求交付使用单位使用（投标人根据自身情况按最短时间报）。</w:t>
            </w:r>
            <w:r>
              <w:rPr>
                <w:rFonts w:ascii="宋体" w:hAnsi="宋体"/>
                <w:b/>
                <w:bCs/>
                <w:color w:val="000000" w:themeColor="text1"/>
                <w:sz w:val="24"/>
                <w:szCs w:val="24"/>
                <w14:textFill>
                  <w14:solidFill>
                    <w14:schemeClr w14:val="tx1"/>
                  </w14:solidFill>
                </w14:textFill>
              </w:rPr>
              <w:fldChar w:fldCharType="begin"/>
            </w:r>
            <w:r>
              <w:rPr>
                <w:rFonts w:ascii="宋体" w:hAnsi="宋体"/>
                <w:b/>
                <w:bCs/>
                <w:color w:val="000000" w:themeColor="text1"/>
                <w:sz w:val="24"/>
                <w:szCs w:val="24"/>
                <w14:textFill>
                  <w14:solidFill>
                    <w14:schemeClr w14:val="tx1"/>
                  </w14:solidFill>
                </w14:textFill>
              </w:rPr>
              <w:instrText xml:space="preserve"> </w:instrText>
            </w:r>
            <w:r>
              <w:rPr>
                <w:rFonts w:hint="eastAsia" w:ascii="宋体" w:hAnsi="宋体"/>
                <w:b/>
                <w:bCs/>
                <w:color w:val="000000" w:themeColor="text1"/>
                <w:sz w:val="24"/>
                <w:szCs w:val="24"/>
                <w14:textFill>
                  <w14:solidFill>
                    <w14:schemeClr w14:val="tx1"/>
                  </w14:solidFill>
                </w14:textFill>
              </w:rPr>
              <w:instrText xml:space="preserve">= 2 \* GB3</w:instrText>
            </w:r>
            <w:r>
              <w:rPr>
                <w:rFonts w:ascii="宋体" w:hAnsi="宋体"/>
                <w:b/>
                <w:bCs/>
                <w:color w:val="000000" w:themeColor="text1"/>
                <w:sz w:val="24"/>
                <w:szCs w:val="24"/>
                <w14:textFill>
                  <w14:solidFill>
                    <w14:schemeClr w14:val="tx1"/>
                  </w14:solidFill>
                </w14:textFill>
              </w:rPr>
              <w:instrText xml:space="preserve"> </w:instrText>
            </w:r>
            <w:r>
              <w:rPr>
                <w:rFonts w:ascii="宋体" w:hAnsi="宋体"/>
                <w:b/>
                <w:bCs/>
                <w:color w:val="000000" w:themeColor="text1"/>
                <w:sz w:val="24"/>
                <w:szCs w:val="24"/>
                <w14:textFill>
                  <w14:solidFill>
                    <w14:schemeClr w14:val="tx1"/>
                  </w14:solidFill>
                </w14:textFill>
              </w:rPr>
              <w:fldChar w:fldCharType="separate"/>
            </w:r>
            <w:r>
              <w:rPr>
                <w:rFonts w:hint="eastAsia" w:ascii="宋体" w:hAnsi="宋体"/>
                <w:b/>
                <w:bCs/>
                <w:color w:val="000000" w:themeColor="text1"/>
                <w:sz w:val="24"/>
                <w:szCs w:val="24"/>
                <w14:textFill>
                  <w14:solidFill>
                    <w14:schemeClr w14:val="tx1"/>
                  </w14:solidFill>
                </w14:textFill>
              </w:rPr>
              <w:t>②</w:t>
            </w:r>
            <w:r>
              <w:rPr>
                <w:rFonts w:ascii="宋体" w:hAnsi="宋体"/>
                <w:b/>
                <w:bCs/>
                <w:color w:val="000000" w:themeColor="text1"/>
                <w:sz w:val="24"/>
                <w:szCs w:val="24"/>
                <w14:textFill>
                  <w14:solidFill>
                    <w14:schemeClr w14:val="tx1"/>
                  </w14:solidFill>
                </w14:textFill>
              </w:rPr>
              <w:fldChar w:fldCharType="end"/>
            </w:r>
            <w:r>
              <w:rPr>
                <w:rFonts w:hint="eastAsia" w:ascii="宋体" w:hAnsi="宋体"/>
                <w:b/>
                <w:bCs/>
                <w:color w:val="000000" w:themeColor="text1"/>
                <w:sz w:val="24"/>
                <w:szCs w:val="24"/>
                <w14:textFill>
                  <w14:solidFill>
                    <w14:schemeClr w14:val="tx1"/>
                  </w14:solidFill>
                </w14:textFill>
              </w:rPr>
              <w:t>大厦之门、山海之境、总规沙盘等</w:t>
            </w:r>
            <w:r>
              <w:rPr>
                <w:rFonts w:ascii="宋体" w:hAnsi="宋体"/>
                <w:b/>
                <w:bCs/>
                <w:color w:val="000000" w:themeColor="text1"/>
                <w:sz w:val="24"/>
                <w:szCs w:val="24"/>
                <w14:textFill>
                  <w14:solidFill>
                    <w14:schemeClr w14:val="tx1"/>
                  </w14:solidFill>
                </w14:textFill>
              </w:rPr>
              <w:t>3</w:t>
            </w:r>
            <w:r>
              <w:rPr>
                <w:rFonts w:hint="eastAsia" w:ascii="宋体" w:hAnsi="宋体"/>
                <w:b/>
                <w:bCs/>
                <w:color w:val="000000" w:themeColor="text1"/>
                <w:sz w:val="24"/>
                <w:szCs w:val="24"/>
                <w14:textFill>
                  <w14:solidFill>
                    <w14:schemeClr w14:val="tx1"/>
                  </w14:solidFill>
                </w14:textFill>
              </w:rPr>
              <w:t>个布置在一楼展项，在合同签订后接使用单位的通知之日起</w:t>
            </w:r>
            <w:r>
              <w:rPr>
                <w:rFonts w:hint="eastAsia" w:ascii="宋体" w:hAnsi="宋体"/>
                <w:b/>
                <w:bCs/>
                <w:color w:val="000000" w:themeColor="text1"/>
                <w:sz w:val="24"/>
                <w:szCs w:val="24"/>
                <w:lang w:val="en-US" w:eastAsia="zh-CN"/>
                <w14:textFill>
                  <w14:solidFill>
                    <w14:schemeClr w14:val="tx1"/>
                  </w14:solidFill>
                </w14:textFill>
              </w:rPr>
              <w:t>30</w:t>
            </w:r>
            <w:r>
              <w:rPr>
                <w:rFonts w:hint="eastAsia" w:ascii="宋体" w:hAnsi="宋体"/>
                <w:b/>
                <w:bCs/>
                <w:color w:val="000000" w:themeColor="text1"/>
                <w:sz w:val="24"/>
                <w:szCs w:val="24"/>
                <w14:textFill>
                  <w14:solidFill>
                    <w14:schemeClr w14:val="tx1"/>
                  </w14:solidFill>
                </w14:textFill>
              </w:rPr>
              <w:t>个日历日内完工并按照使用单位的应用需求交付使用单位使用（投标人根据自身情况按最短时间报）。具体进场时间，以使用单位的通知为准。须提供书面承诺函（格式自拟），否则作无效投标处理。</w:t>
            </w:r>
          </w:p>
        </w:tc>
      </w:tr>
      <w:tr w14:paraId="5E6C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tcPr>
          <w:p w14:paraId="72147616">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696" w:type="dxa"/>
            <w:tcBorders>
              <w:bottom w:val="single" w:color="auto" w:sz="4" w:space="0"/>
            </w:tcBorders>
          </w:tcPr>
          <w:p w14:paraId="1F6CA410">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422" w:type="dxa"/>
            <w:tcBorders>
              <w:bottom w:val="single" w:color="auto" w:sz="4" w:space="0"/>
            </w:tcBorders>
          </w:tcPr>
          <w:p w14:paraId="68E14E59">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5925" w:type="dxa"/>
            <w:tcBorders>
              <w:bottom w:val="single" w:color="auto" w:sz="4" w:space="0"/>
            </w:tcBorders>
          </w:tcPr>
          <w:p w14:paraId="03604557">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w:t>
            </w:r>
            <w:r>
              <w:rPr>
                <w:rFonts w:hint="eastAsia" w:ascii="宋体" w:hAnsi="宋体"/>
                <w:b/>
                <w:color w:val="000000" w:themeColor="text1"/>
                <w:sz w:val="24"/>
                <w:szCs w:val="24"/>
                <w14:textFill>
                  <w14:solidFill>
                    <w14:schemeClr w14:val="tx1"/>
                  </w14:solidFill>
                </w14:textFill>
              </w:rPr>
              <w:t>7.投标有效期：投标截止之日起90个日历日。</w:t>
            </w:r>
          </w:p>
        </w:tc>
      </w:tr>
    </w:tbl>
    <w:p w14:paraId="3100465E">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备注：由于编排顺序混乱而导致投标文件被误读或漏读，该投标人的投标可能被视为无效投标或承担不利的评标结果。</w:t>
      </w:r>
    </w:p>
    <w:p w14:paraId="350BA2F6">
      <w:pPr>
        <w:spacing w:line="360" w:lineRule="auto"/>
        <w:rPr>
          <w:rFonts w:hint="eastAsia" w:ascii="宋体" w:hAnsi="宋体" w:cs="宋体"/>
          <w:bCs/>
          <w:color w:val="000000" w:themeColor="text1"/>
          <w:sz w:val="24"/>
          <w:szCs w:val="24"/>
          <w14:textFill>
            <w14:solidFill>
              <w14:schemeClr w14:val="tx1"/>
            </w14:solidFill>
          </w14:textFill>
        </w:rPr>
      </w:pPr>
    </w:p>
    <w:p w14:paraId="3A74E78B">
      <w:pPr>
        <w:spacing w:line="360" w:lineRule="auto"/>
        <w:rPr>
          <w:rFonts w:hint="eastAsia" w:ascii="宋体" w:hAnsi="宋体" w:cs="宋体"/>
          <w:bCs/>
          <w:color w:val="000000" w:themeColor="text1"/>
          <w:sz w:val="24"/>
          <w:szCs w:val="24"/>
          <w14:textFill>
            <w14:solidFill>
              <w14:schemeClr w14:val="tx1"/>
            </w14:solidFill>
          </w14:textFill>
        </w:rPr>
      </w:pPr>
    </w:p>
    <w:p w14:paraId="62D5F7A6">
      <w:pPr>
        <w:jc w:val="left"/>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1EC03560">
      <w:pPr>
        <w:spacing w:line="360" w:lineRule="auto"/>
        <w:ind w:firstLine="0" w:firstLineChars="0"/>
        <w:jc w:val="center"/>
        <w:rPr>
          <w:rFonts w:hint="eastAsia" w:ascii="宋体" w:hAnsi="宋体" w:cs="宋体"/>
          <w:b/>
          <w:bCs/>
          <w:color w:val="000000" w:themeColor="text1"/>
          <w:sz w:val="32"/>
          <w:szCs w:val="32"/>
          <w:u w:val="single"/>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投标人须知前附表3：评标方法、评标标准、定标原则</w:t>
      </w:r>
    </w:p>
    <w:tbl>
      <w:tblPr>
        <w:tblStyle w:val="11"/>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53AF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35DFCF4C">
            <w:pPr>
              <w:pStyle w:val="2"/>
              <w:numPr>
                <w:ilvl w:val="0"/>
                <w:numId w:val="1"/>
              </w:numPr>
              <w:snapToGrid w:val="0"/>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评标方法：</w:t>
            </w:r>
          </w:p>
          <w:p w14:paraId="6FA5A2F0">
            <w:pPr>
              <w:pStyle w:val="2"/>
              <w:snapToGrid w:val="0"/>
              <w:spacing w:line="360" w:lineRule="auto"/>
              <w:ind w:left="480"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fldChar w:fldCharType="begin"/>
            </w:r>
            <w:r>
              <w:rPr>
                <w:rFonts w:hint="eastAsia" w:ascii="宋体" w:hAnsi="宋体" w:cs="宋体"/>
                <w:b/>
                <w:color w:val="000000" w:themeColor="text1"/>
                <w:sz w:val="24"/>
                <w:szCs w:val="24"/>
                <w14:textFill>
                  <w14:solidFill>
                    <w14:schemeClr w14:val="tx1"/>
                  </w14:solidFill>
                </w14:textFill>
              </w:rPr>
              <w:instrText xml:space="preserve"> eq \o\ac(</w:instrText>
            </w:r>
            <w:r>
              <w:rPr>
                <w:rFonts w:hint="eastAsia" w:ascii="宋体" w:hAnsi="宋体" w:cs="宋体"/>
                <w:b/>
                <w:color w:val="000000" w:themeColor="text1"/>
                <w:position w:val="-4"/>
                <w:sz w:val="36"/>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 xml:space="preserve">综合评分法  □ 最低评标价法  </w:t>
            </w:r>
          </w:p>
        </w:tc>
      </w:tr>
      <w:tr w14:paraId="61EF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608D8961">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二、评标标准：</w:t>
            </w:r>
          </w:p>
          <w:p w14:paraId="2EC47D0F">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（一）具体的评标标准、权重。</w:t>
            </w:r>
          </w:p>
          <w:p w14:paraId="4EE5B5EB">
            <w:pPr>
              <w:pStyle w:val="2"/>
              <w:snapToGrid w:val="0"/>
              <w:spacing w:line="360" w:lineRule="auto"/>
              <w:ind w:firstLine="720" w:firstLineChars="3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详见附件</w:t>
            </w:r>
          </w:p>
          <w:p w14:paraId="368E7622">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（二）推荐中标候选供应商名单。</w:t>
            </w:r>
          </w:p>
          <w:p w14:paraId="33F6AA51">
            <w:pPr>
              <w:pStyle w:val="2"/>
              <w:snapToGrid w:val="0"/>
              <w:spacing w:line="360" w:lineRule="auto"/>
              <w:ind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1、中标候选供应商数量：</w:t>
            </w:r>
            <w:r>
              <w:rPr>
                <w:rFonts w:hint="eastAsia" w:ascii="宋体" w:hAnsi="宋体" w:cs="宋体"/>
                <w:color w:val="000000" w:themeColor="text1"/>
                <w:sz w:val="24"/>
                <w:szCs w:val="24"/>
                <w:u w:val="single"/>
                <w14:textFill>
                  <w14:solidFill>
                    <w14:schemeClr w14:val="tx1"/>
                  </w14:solidFill>
                </w14:textFill>
              </w:rPr>
              <w:t xml:space="preserve">  3</w:t>
            </w:r>
            <w:r>
              <w:rPr>
                <w:rFonts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个。</w:t>
            </w:r>
          </w:p>
          <w:p w14:paraId="0D5CB8B0">
            <w:pPr>
              <w:pStyle w:val="2"/>
              <w:snapToGrid w:val="0"/>
              <w:spacing w:line="360" w:lineRule="auto"/>
              <w:ind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2、中标候选供应商排列顺序。经投标文件初审、澄清有关问题、比较与评价评标程序后，按以下办法推荐中标候选供应商名单的排列顺序（请按采购项目的评标方法从以下两项中选择一项打“√”）：</w:t>
            </w:r>
          </w:p>
          <w:p w14:paraId="6047E66F">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□采用最低评标价法的，按投标报价由低到高顺序排列。投标报价相同的，按技术指标优劣顺序排列。</w:t>
            </w:r>
          </w:p>
          <w:p w14:paraId="576D563F">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b/>
                <w:color w:val="000000" w:themeColor="text1"/>
                <w:sz w:val="24"/>
                <w:szCs w:val="24"/>
                <w14:textFill>
                  <w14:solidFill>
                    <w14:schemeClr w14:val="tx1"/>
                  </w14:solidFill>
                </w14:textFill>
              </w:rPr>
              <w:fldChar w:fldCharType="begin"/>
            </w:r>
            <w:r>
              <w:rPr>
                <w:rFonts w:hint="eastAsia" w:ascii="宋体" w:hAnsi="宋体" w:cs="宋体"/>
                <w:b/>
                <w:color w:val="000000" w:themeColor="text1"/>
                <w:sz w:val="24"/>
                <w:szCs w:val="24"/>
                <w14:textFill>
                  <w14:solidFill>
                    <w14:schemeClr w14:val="tx1"/>
                  </w14:solidFill>
                </w14:textFill>
              </w:rPr>
              <w:instrText xml:space="preserve"> eq \o\ac(</w:instrText>
            </w:r>
            <w:r>
              <w:rPr>
                <w:rFonts w:hint="eastAsia" w:ascii="宋体" w:hAnsi="宋体" w:cs="宋体"/>
                <w:b/>
                <w:color w:val="000000" w:themeColor="text1"/>
                <w:position w:val="-4"/>
                <w:sz w:val="36"/>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采用综合评分法的，按评审后得分由高到低顺序排列。得分相同的，按投标报价由低到高顺序排列。得分且投标报价相同的，按技术指标优劣顺序排列。</w:t>
            </w:r>
          </w:p>
          <w:p w14:paraId="3A28AD1A">
            <w:pPr>
              <w:pStyle w:val="6"/>
              <w:spacing w:after="0" w:line="360" w:lineRule="auto"/>
              <w:ind w:left="0"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3、关于同一品牌产品投标的相关规定</w:t>
            </w:r>
          </w:p>
          <w:p w14:paraId="24703DD4">
            <w:pPr>
              <w:pStyle w:val="6"/>
              <w:spacing w:after="0" w:line="360" w:lineRule="auto"/>
              <w:ind w:left="0"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如果有多家投标人以同一品牌的产品参加投标，只能视为一家。</w:t>
            </w:r>
          </w:p>
          <w:p w14:paraId="26AAC0D2">
            <w:pPr>
              <w:spacing w:line="360" w:lineRule="auto"/>
              <w:ind w:firstLine="360" w:firstLineChars="1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采用</w:t>
            </w:r>
            <w:r>
              <w:fldChar w:fldCharType="begin"/>
            </w:r>
            <w:r>
              <w:instrText xml:space="preserve">HYPERLINK "http://lilun.caigou2003.com/recijiedu/2365668.html" \t "_blank"</w:instrText>
            </w:r>
            <w:r>
              <w:fldChar w:fldCharType="separate"/>
            </w:r>
            <w:r>
              <w:rPr>
                <w:rFonts w:hint="eastAsia" w:ascii="宋体" w:hAnsi="宋体" w:cs="宋体"/>
                <w:color w:val="000000" w:themeColor="text1"/>
                <w:sz w:val="24"/>
                <w:szCs w:val="24"/>
                <w14:textFill>
                  <w14:solidFill>
                    <w14:schemeClr w14:val="tx1"/>
                  </w14:solidFill>
                </w14:textFill>
              </w:rPr>
              <w:t>最低评标价法</w:t>
            </w:r>
            <w:r>
              <w:rPr>
                <w:rFonts w:ascii="宋体" w:hAnsi="宋体" w:cs="宋体"/>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的采购项目，提供相同品牌产品的不同投标人参加同一合同项下投标的，以其中通过资格审查、符合性审查且报价最低的参加评标；报价相同的，由采购单位委托</w:t>
            </w:r>
            <w:r>
              <w:fldChar w:fldCharType="begin"/>
            </w:r>
            <w:r>
              <w:instrText xml:space="preserve"> HYPERLINK "http://lilun.caigou2003.com/recijiedu/2539165.html" \t "_blank" </w:instrText>
            </w:r>
            <w:r>
              <w:fldChar w:fldCharType="separate"/>
            </w:r>
            <w:r>
              <w:rPr>
                <w:rFonts w:hint="eastAsia" w:ascii="宋体" w:hAnsi="宋体" w:cs="宋体"/>
                <w:color w:val="000000" w:themeColor="text1"/>
                <w:sz w:val="24"/>
                <w:szCs w:val="24"/>
                <w14:textFill>
                  <w14:solidFill>
                    <w14:schemeClr w14:val="tx1"/>
                  </w14:solidFill>
                </w14:textFill>
              </w:rPr>
              <w:t>评标委员会</w:t>
            </w:r>
            <w:r>
              <w:rPr>
                <w:rFonts w:hint="eastAsia" w:ascii="宋体" w:hAnsi="宋体" w:cs="宋体"/>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按照招标文件规定的方式确定一个参加评标的投标人，招标文件未规定的采取随机抽取方式确定，其他投标无效。</w:t>
            </w:r>
          </w:p>
          <w:p w14:paraId="30127A7C">
            <w:pPr>
              <w:spacing w:line="360" w:lineRule="auto"/>
              <w:ind w:firstLine="324"/>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使用</w:t>
            </w:r>
            <w:r>
              <w:fldChar w:fldCharType="begin"/>
            </w:r>
            <w:r>
              <w:instrText xml:space="preserve"> HYPERLINK "http://lilun.caigou2003.com/recijiedu/2365667.html" \t "_blank" </w:instrText>
            </w:r>
            <w:r>
              <w:fldChar w:fldCharType="separate"/>
            </w:r>
            <w:r>
              <w:rPr>
                <w:rFonts w:hint="eastAsia" w:ascii="宋体" w:hAnsi="宋体" w:cs="宋体"/>
                <w:color w:val="000000" w:themeColor="text1"/>
                <w:sz w:val="24"/>
                <w:szCs w:val="24"/>
                <w14:textFill>
                  <w14:solidFill>
                    <w14:schemeClr w14:val="tx1"/>
                  </w14:solidFill>
                </w14:textFill>
              </w:rPr>
              <w:t>综合评分法</w:t>
            </w:r>
            <w:r>
              <w:rPr>
                <w:rFonts w:hint="eastAsia" w:ascii="宋体" w:hAnsi="宋体" w:cs="宋体"/>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6CF06331">
            <w:pPr>
              <w:pStyle w:val="2"/>
              <w:snapToGrid w:val="0"/>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非单一产品采购项目，采购单位应当根据采购项目技术构成、产品价格比重等合理确定核心产品，并在招标文件中载明。多家投标人提供的核心产品品牌相同的，按前两款规定处理。</w:t>
            </w:r>
          </w:p>
        </w:tc>
      </w:tr>
      <w:tr w14:paraId="246E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51AA5A12">
            <w:pPr>
              <w:pStyle w:val="2"/>
              <w:snapToGrid w:val="0"/>
              <w:spacing w:line="360" w:lineRule="auto"/>
              <w:ind w:firstLine="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三、定标原则（确定中标供应商数量：</w:t>
            </w:r>
            <w:r>
              <w:rPr>
                <w:rFonts w:hint="eastAsia" w:ascii="宋体" w:hAnsi="宋体" w:cs="宋体"/>
                <w:color w:val="000000" w:themeColor="text1"/>
                <w:sz w:val="24"/>
                <w:szCs w:val="24"/>
                <w:u w:val="single"/>
                <w14:textFill>
                  <w14:solidFill>
                    <w14:schemeClr w14:val="tx1"/>
                  </w14:solidFill>
                </w14:textFill>
              </w:rPr>
              <w:t xml:space="preserve"> 1 </w:t>
            </w:r>
            <w:r>
              <w:rPr>
                <w:rFonts w:hint="eastAsia" w:ascii="宋体" w:hAnsi="宋体" w:cs="宋体"/>
                <w:color w:val="000000" w:themeColor="text1"/>
                <w:sz w:val="24"/>
                <w:szCs w:val="24"/>
                <w14:textFill>
                  <w14:solidFill>
                    <w14:schemeClr w14:val="tx1"/>
                  </w14:solidFill>
                </w14:textFill>
              </w:rPr>
              <w:t>个）：</w:t>
            </w:r>
          </w:p>
          <w:p w14:paraId="1529E028">
            <w:pPr>
              <w:pStyle w:val="2"/>
              <w:snapToGrid w:val="0"/>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□采购单位委托招标代理机构招标，在收到评标报告后五个工作日内，按照评标报告中推荐的中标候选供应商顺序确定中标供应商。</w:t>
            </w:r>
          </w:p>
          <w:p w14:paraId="097AD617">
            <w:pPr>
              <w:pStyle w:val="2"/>
              <w:snapToGrid w:val="0"/>
              <w:spacing w:line="360" w:lineRule="auto"/>
              <w:ind w:firstLine="482"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fldChar w:fldCharType="begin"/>
            </w:r>
            <w:r>
              <w:rPr>
                <w:rFonts w:hint="eastAsia" w:ascii="宋体" w:hAnsi="宋体" w:cs="宋体"/>
                <w:b/>
                <w:color w:val="000000" w:themeColor="text1"/>
                <w:sz w:val="24"/>
                <w:szCs w:val="24"/>
                <w14:textFill>
                  <w14:solidFill>
                    <w14:schemeClr w14:val="tx1"/>
                  </w14:solidFill>
                </w14:textFill>
              </w:rPr>
              <w:instrText xml:space="preserve"> eq \o\ac(</w:instrText>
            </w:r>
            <w:r>
              <w:rPr>
                <w:rFonts w:hint="eastAsia" w:ascii="宋体" w:hAnsi="宋体" w:cs="宋体"/>
                <w:b/>
                <w:color w:val="000000" w:themeColor="text1"/>
                <w:position w:val="-4"/>
                <w:sz w:val="36"/>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采购单位委托招标代理机构招标，授权评标委员会直接确定中标供应商。</w:t>
            </w:r>
          </w:p>
          <w:p w14:paraId="080B9BA6">
            <w:pPr>
              <w:pStyle w:val="2"/>
              <w:snapToGrid w:val="0"/>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采购单位自行组织招标，在评标结束后五个工作日内确定中标供应商。</w:t>
            </w:r>
          </w:p>
        </w:tc>
      </w:tr>
    </w:tbl>
    <w:p w14:paraId="1BE81AC3">
      <w:pPr>
        <w:pStyle w:val="2"/>
        <w:snapToGrid w:val="0"/>
        <w:spacing w:line="360" w:lineRule="auto"/>
        <w:ind w:firstLine="0"/>
        <w:rPr>
          <w:rFonts w:hint="eastAsia" w:ascii="宋体" w:hAnsi="宋体" w:cs="宋体"/>
          <w:b/>
          <w:color w:val="000000" w:themeColor="text1"/>
          <w:sz w:val="24"/>
          <w:szCs w:val="24"/>
          <w:u w:val="single"/>
          <w14:textFill>
            <w14:solidFill>
              <w14:schemeClr w14:val="tx1"/>
            </w14:solidFill>
          </w14:textFill>
        </w:rPr>
      </w:pPr>
      <w:r>
        <w:rPr>
          <w:rFonts w:hint="eastAsia" w:ascii="宋体" w:hAnsi="宋体" w:cs="宋体"/>
          <w:b/>
          <w:color w:val="000000" w:themeColor="text1"/>
          <w:sz w:val="24"/>
          <w:szCs w:val="24"/>
          <w:u w:val="single"/>
          <w14:textFill>
            <w14:solidFill>
              <w14:schemeClr w14:val="tx1"/>
            </w14:solidFill>
          </w14:textFill>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448F554C">
      <w:pPr>
        <w:tabs>
          <w:tab w:val="left" w:pos="-1080"/>
          <w:tab w:val="left" w:pos="180"/>
          <w:tab w:val="left" w:pos="1080"/>
        </w:tabs>
        <w:spacing w:line="360" w:lineRule="auto"/>
        <w:rPr>
          <w:rFonts w:hint="eastAsia" w:ascii="宋体" w:hAnsi="宋体" w:cs="宋体"/>
          <w:b/>
          <w:color w:val="000000" w:themeColor="text1"/>
          <w:sz w:val="24"/>
          <w:szCs w:val="24"/>
          <w14:textFill>
            <w14:solidFill>
              <w14:schemeClr w14:val="tx1"/>
            </w14:solidFill>
          </w14:textFill>
        </w:rPr>
      </w:pPr>
    </w:p>
    <w:p w14:paraId="03599B45">
      <w:pP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br w:type="page"/>
      </w:r>
    </w:p>
    <w:p w14:paraId="08D72B0B">
      <w:pPr>
        <w:tabs>
          <w:tab w:val="left" w:pos="-1080"/>
          <w:tab w:val="left" w:pos="180"/>
          <w:tab w:val="left" w:pos="1080"/>
        </w:tabs>
        <w:spacing w:line="360" w:lineRule="auto"/>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附件：评标标准、权重</w:t>
      </w:r>
    </w:p>
    <w:p w14:paraId="515CC19A">
      <w:pPr>
        <w:tabs>
          <w:tab w:val="left" w:pos="-1080"/>
          <w:tab w:val="left" w:pos="180"/>
          <w:tab w:val="left" w:pos="108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（一）技术评分(F1)：按</w:t>
      </w:r>
      <w:r>
        <w:rPr>
          <w:rFonts w:hint="eastAsia" w:ascii="宋体" w:hAnsi="宋体" w:cs="宋体"/>
          <w:color w:val="000000" w:themeColor="text1"/>
          <w:sz w:val="24"/>
          <w:szCs w:val="24"/>
          <w:u w:val="single"/>
          <w14:textFill>
            <w14:solidFill>
              <w14:schemeClr w14:val="tx1"/>
            </w14:solidFill>
          </w14:textFill>
        </w:rPr>
        <w:t>50</w:t>
      </w:r>
      <w:r>
        <w:rPr>
          <w:rFonts w:hint="eastAsia" w:ascii="宋体" w:hAnsi="宋体" w:cs="宋体"/>
          <w:color w:val="000000" w:themeColor="text1"/>
          <w:sz w:val="24"/>
          <w:szCs w:val="24"/>
          <w14:textFill>
            <w14:solidFill>
              <w14:schemeClr w14:val="tx1"/>
            </w14:solidFill>
          </w14:textFill>
        </w:rPr>
        <w:t>分评分法，技术评分考虑下列因素：</w:t>
      </w:r>
    </w:p>
    <w:tbl>
      <w:tblPr>
        <w:tblStyle w:val="11"/>
        <w:tblW w:w="5000" w:type="pct"/>
        <w:tblInd w:w="0" w:type="dxa"/>
        <w:tblLayout w:type="autofit"/>
        <w:tblCellMar>
          <w:top w:w="0" w:type="dxa"/>
          <w:left w:w="108" w:type="dxa"/>
          <w:bottom w:w="0" w:type="dxa"/>
          <w:right w:w="108" w:type="dxa"/>
        </w:tblCellMar>
      </w:tblPr>
      <w:tblGrid>
        <w:gridCol w:w="871"/>
        <w:gridCol w:w="6851"/>
        <w:gridCol w:w="897"/>
      </w:tblGrid>
      <w:tr w14:paraId="5D91F51D">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3ACD5C91">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序号</w:t>
            </w:r>
          </w:p>
        </w:tc>
        <w:tc>
          <w:tcPr>
            <w:tcW w:w="3973" w:type="pct"/>
            <w:tcBorders>
              <w:top w:val="single" w:color="auto" w:sz="4" w:space="0"/>
              <w:left w:val="single" w:color="auto" w:sz="4" w:space="0"/>
              <w:bottom w:val="single" w:color="auto" w:sz="4" w:space="0"/>
              <w:right w:val="single" w:color="auto" w:sz="4" w:space="0"/>
            </w:tcBorders>
            <w:vAlign w:val="center"/>
          </w:tcPr>
          <w:p w14:paraId="02BAA048">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细则内容</w:t>
            </w:r>
          </w:p>
        </w:tc>
        <w:tc>
          <w:tcPr>
            <w:tcW w:w="520" w:type="pct"/>
            <w:tcBorders>
              <w:top w:val="single" w:color="auto" w:sz="4" w:space="0"/>
              <w:left w:val="single" w:color="auto" w:sz="4" w:space="0"/>
              <w:bottom w:val="single" w:color="auto" w:sz="4" w:space="0"/>
              <w:right w:val="single" w:color="auto" w:sz="4" w:space="0"/>
            </w:tcBorders>
            <w:vAlign w:val="center"/>
          </w:tcPr>
          <w:p w14:paraId="2E8EF666">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满分</w:t>
            </w:r>
          </w:p>
          <w:p w14:paraId="64C5F3D6">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分值</w:t>
            </w:r>
          </w:p>
        </w:tc>
      </w:tr>
      <w:tr w14:paraId="651596EA">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0E864188">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w:t>
            </w:r>
          </w:p>
        </w:tc>
        <w:tc>
          <w:tcPr>
            <w:tcW w:w="3973" w:type="pct"/>
            <w:tcBorders>
              <w:top w:val="single" w:color="auto" w:sz="4" w:space="0"/>
              <w:left w:val="single" w:color="auto" w:sz="4" w:space="0"/>
              <w:bottom w:val="single" w:color="auto" w:sz="4" w:space="0"/>
              <w:right w:val="single" w:color="auto" w:sz="4" w:space="0"/>
            </w:tcBorders>
          </w:tcPr>
          <w:p w14:paraId="59E25BE4">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根据投标人所提供的【P2.5柔性LED显示屏】（序号1）</w:t>
            </w:r>
            <w:bookmarkStart w:id="3" w:name="OLE_LINK6"/>
            <w:r>
              <w:rPr>
                <w:rFonts w:hint="eastAsia" w:ascii="宋体" w:hAnsi="宋体" w:cs="宋体"/>
                <w:bCs/>
                <w:color w:val="000000" w:themeColor="text1"/>
                <w:sz w:val="24"/>
                <w:szCs w:val="24"/>
                <w14:textFill>
                  <w14:solidFill>
                    <w14:schemeClr w14:val="tx1"/>
                  </w14:solidFill>
                </w14:textFill>
              </w:rPr>
              <w:t>进行评价：</w:t>
            </w:r>
          </w:p>
          <w:bookmarkEnd w:id="3"/>
          <w:p w14:paraId="39B1D23B">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8.显示屏白场色品坐标：依据SJ/T</w:t>
            </w:r>
            <w:r>
              <w:rPr>
                <w:rFonts w:ascii="宋体" w:hAnsi="宋体" w:cs="宋体"/>
                <w:bCs/>
                <w:color w:val="000000" w:themeColor="text1"/>
                <w:sz w:val="24"/>
                <w:szCs w:val="24"/>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11141-2025《发光二极管(LED)显示屏通用规范》标准白场色x坐标：0.27-0.37，y坐标：0.25-0.37(提供符合“一单一库”能力项目库内标准编号SJ/T</w:t>
            </w:r>
            <w:r>
              <w:rPr>
                <w:rFonts w:ascii="宋体" w:hAnsi="宋体" w:cs="宋体"/>
                <w:bCs/>
                <w:color w:val="000000" w:themeColor="text1"/>
                <w:sz w:val="24"/>
                <w:szCs w:val="24"/>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11141-2025《发光二极管(LED)显示屏通用规范》的具有CMA标识第三方检测机构出具的检测报告复印件进行佐证），满足的得1分，不满足的不得分。</w:t>
            </w:r>
          </w:p>
          <w:p w14:paraId="37C9A0F5">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显示屏视觉刷新频率：≥4800HZ；(提供符合“一单一库”能力项目库内标准编号GB/T 43770-2024《室内LED显示屏规范》或SJ/T 11141-2025《发光二极管(LED)显示屏通用规范》的具有CMA标识第三方检测机构出具的检测报告复印件进行佐证），满足的得1分，不满足的不得分。</w:t>
            </w:r>
          </w:p>
          <w:p w14:paraId="7AFC5D0E">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.产品模组供电和控制集成一体化，电源、信号采用一个type-c接口一线传输，电源信号具有盲插功能，无需区分方向；（须提供柔性单元板通过type-c接口一线点亮后的照片</w:t>
            </w:r>
            <w:bookmarkStart w:id="4" w:name="OLE_LINK34"/>
            <w:bookmarkStart w:id="5" w:name="OLE_LINK35"/>
            <w:r>
              <w:rPr>
                <w:rFonts w:hint="eastAsia" w:ascii="宋体" w:hAnsi="宋体" w:cs="宋体"/>
                <w:bCs/>
                <w:color w:val="000000" w:themeColor="text1"/>
                <w:sz w:val="24"/>
                <w:szCs w:val="24"/>
                <w14:textFill>
                  <w14:solidFill>
                    <w14:schemeClr w14:val="tx1"/>
                  </w14:solidFill>
                </w14:textFill>
              </w:rPr>
              <w:t>，或产品规格书</w:t>
            </w:r>
            <w:bookmarkEnd w:id="4"/>
            <w:bookmarkEnd w:id="5"/>
            <w:r>
              <w:rPr>
                <w:rFonts w:hint="eastAsia" w:ascii="宋体" w:hAnsi="宋体" w:cs="宋体"/>
                <w:bCs/>
                <w:color w:val="000000" w:themeColor="text1"/>
                <w:sz w:val="24"/>
                <w:szCs w:val="24"/>
                <w14:textFill>
                  <w14:solidFill>
                    <w14:schemeClr w14:val="tx1"/>
                  </w14:solidFill>
                </w14:textFill>
              </w:rPr>
              <w:t>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757EA370">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w:t>
            </w:r>
          </w:p>
        </w:tc>
      </w:tr>
      <w:tr w14:paraId="35DF46CD">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6AA8E239">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1-2</w:t>
            </w:r>
          </w:p>
        </w:tc>
        <w:tc>
          <w:tcPr>
            <w:tcW w:w="3973" w:type="pct"/>
            <w:tcBorders>
              <w:top w:val="single" w:color="auto" w:sz="4" w:space="0"/>
              <w:left w:val="single" w:color="auto" w:sz="4" w:space="0"/>
              <w:bottom w:val="single" w:color="auto" w:sz="4" w:space="0"/>
              <w:right w:val="single" w:color="auto" w:sz="4" w:space="0"/>
            </w:tcBorders>
          </w:tcPr>
          <w:p w14:paraId="607DBFEA">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根据投标人所提供的【多媒体播控终端三】（序号5、65）</w:t>
            </w:r>
            <w:bookmarkStart w:id="6" w:name="OLE_LINK7"/>
            <w:r>
              <w:rPr>
                <w:rFonts w:hint="eastAsia" w:ascii="宋体" w:hAnsi="宋体" w:cs="宋体"/>
                <w:bCs/>
                <w:color w:val="000000" w:themeColor="text1"/>
                <w:sz w:val="24"/>
                <w:szCs w:val="24"/>
                <w14:textFill>
                  <w14:solidFill>
                    <w14:schemeClr w14:val="tx1"/>
                  </w14:solidFill>
                </w14:textFill>
              </w:rPr>
              <w:t>进行评价：</w:t>
            </w:r>
          </w:p>
          <w:bookmarkEnd w:id="6"/>
          <w:p w14:paraId="11EC9359">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5.支持任意一台设备作为超级管理端，可以局域网内其他同系列设备进行超级管理，支持同时控制多个播放端进行节目切换、暂停、停止等操作；（须提供设备功能截图或产品规格书进行佐证），满足的得1分，不满足的不得分。</w:t>
            </w:r>
          </w:p>
          <w:p w14:paraId="75857F8B">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6.支持对视频文件按照独有的格式进行加密，只有在授权密码校验通过后且在有效设定时间（如3个月）内才能正常播放；（须提供设备功能截图或产品规格书进行佐证），满足的得1分，不满足的不得分。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3503E227">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0188B490">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23AD9D2C">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1-3</w:t>
            </w:r>
          </w:p>
        </w:tc>
        <w:tc>
          <w:tcPr>
            <w:tcW w:w="3973" w:type="pct"/>
            <w:tcBorders>
              <w:top w:val="single" w:color="auto" w:sz="4" w:space="0"/>
              <w:left w:val="single" w:color="auto" w:sz="4" w:space="0"/>
              <w:bottom w:val="single" w:color="auto" w:sz="4" w:space="0"/>
              <w:right w:val="single" w:color="auto" w:sz="4" w:space="0"/>
            </w:tcBorders>
          </w:tcPr>
          <w:p w14:paraId="41F0F850">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根据投标人所提供的【P1.8 LED显示屏】（序号7）进行评价：</w:t>
            </w:r>
          </w:p>
          <w:p w14:paraId="39DDE471">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68C5789C">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0DECFB00">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79367DD6">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29F14316">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1-4</w:t>
            </w:r>
          </w:p>
        </w:tc>
        <w:tc>
          <w:tcPr>
            <w:tcW w:w="3973" w:type="pct"/>
            <w:tcBorders>
              <w:top w:val="single" w:color="auto" w:sz="4" w:space="0"/>
              <w:left w:val="single" w:color="auto" w:sz="4" w:space="0"/>
              <w:bottom w:val="single" w:color="auto" w:sz="4" w:space="0"/>
              <w:right w:val="single" w:color="auto" w:sz="4" w:space="0"/>
            </w:tcBorders>
          </w:tcPr>
          <w:p w14:paraId="7A56C090">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根据投标人所提供的【多媒体播控终端一】（序号11、29、41、47、53、59、71）进行评价：</w:t>
            </w:r>
          </w:p>
          <w:p w14:paraId="33EF1BE3">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4.支持在媒体库中添加本地文件、本地文件夹、字幕、</w:t>
            </w:r>
            <w:r>
              <w:rPr>
                <w:rFonts w:ascii="宋体" w:hAnsi="宋体" w:cs="宋体"/>
                <w:bCs/>
                <w:color w:val="000000" w:themeColor="text1"/>
                <w:sz w:val="24"/>
                <w:szCs w:val="24"/>
                <w14:textFill>
                  <w14:solidFill>
                    <w14:schemeClr w14:val="tx1"/>
                  </w14:solidFill>
                </w14:textFill>
              </w:rPr>
              <w:t>NDI媒体、</w:t>
            </w:r>
            <w:r>
              <w:rPr>
                <w:rFonts w:hint="eastAsia" w:ascii="宋体" w:hAnsi="宋体" w:cs="宋体"/>
                <w:bCs/>
                <w:color w:val="000000" w:themeColor="text1"/>
                <w:sz w:val="24"/>
                <w:szCs w:val="24"/>
                <w14:textFill>
                  <w14:solidFill>
                    <w14:schemeClr w14:val="tx1"/>
                  </w14:solidFill>
                </w14:textFill>
              </w:rPr>
              <w:t>数字时钟、流媒体、传感器、采集设备、网站、媒体合集；（须提供设备功能截图或产品规格书佐证），满足的得1分，不满足的不得分。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664153A3">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w:t>
            </w:r>
          </w:p>
        </w:tc>
      </w:tr>
      <w:tr w14:paraId="22861646">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0A383F06">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1-5</w:t>
            </w:r>
          </w:p>
        </w:tc>
        <w:tc>
          <w:tcPr>
            <w:tcW w:w="3973" w:type="pct"/>
            <w:tcBorders>
              <w:top w:val="single" w:color="auto" w:sz="4" w:space="0"/>
              <w:left w:val="single" w:color="auto" w:sz="4" w:space="0"/>
              <w:bottom w:val="single" w:color="auto" w:sz="4" w:space="0"/>
              <w:right w:val="single" w:color="auto" w:sz="4" w:space="0"/>
            </w:tcBorders>
          </w:tcPr>
          <w:p w14:paraId="7EA8B861">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根据投标人所提供的【P3 LED显示屏】（序号13）进行评价：</w:t>
            </w:r>
          </w:p>
          <w:p w14:paraId="2054A56A">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10.显示屏白场色品坐标：依据SJ/T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2696E606">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w:t>
            </w:r>
            <w:bookmarkStart w:id="7" w:name="OLE_LINK29"/>
            <w:r>
              <w:rPr>
                <w:rFonts w:hint="eastAsia" w:ascii="宋体" w:hAnsi="宋体" w:cs="宋体"/>
                <w:bCs/>
                <w:color w:val="000000" w:themeColor="text1"/>
                <w:sz w:val="24"/>
                <w:szCs w:val="24"/>
                <w14:textFill>
                  <w14:solidFill>
                    <w14:schemeClr w14:val="tx1"/>
                  </w14:solidFill>
                </w14:textFill>
              </w:rPr>
              <w:t>GB/T 43770-2024《室内LED显示屏规范》</w:t>
            </w:r>
            <w:bookmarkEnd w:id="7"/>
            <w:r>
              <w:rPr>
                <w:rFonts w:hint="eastAsia" w:ascii="宋体" w:hAnsi="宋体" w:cs="宋体"/>
                <w:bCs/>
                <w:color w:val="000000" w:themeColor="text1"/>
                <w:sz w:val="24"/>
                <w:szCs w:val="24"/>
                <w14:textFill>
                  <w14:solidFill>
                    <w14:schemeClr w14:val="tx1"/>
                  </w14:solidFill>
                </w14:textFill>
              </w:rPr>
              <w:t>或SJ/T 11141-2025《发光二极管(LED)显示屏通用规范》的具有CMA标识第三方检测机构出具的检测报告复印件进行佐证），满足的得1分，不满足的不得分。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91D7A83">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6A47A230">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17FFD887">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1-6</w:t>
            </w:r>
          </w:p>
        </w:tc>
        <w:tc>
          <w:tcPr>
            <w:tcW w:w="3973" w:type="pct"/>
            <w:tcBorders>
              <w:top w:val="single" w:color="auto" w:sz="4" w:space="0"/>
              <w:left w:val="single" w:color="auto" w:sz="4" w:space="0"/>
              <w:bottom w:val="single" w:color="auto" w:sz="4" w:space="0"/>
              <w:right w:val="single" w:color="auto" w:sz="4" w:space="0"/>
            </w:tcBorders>
          </w:tcPr>
          <w:p w14:paraId="56B3528F">
            <w:pPr>
              <w:spacing w:line="360" w:lineRule="auto"/>
              <w:rPr>
                <w:rFonts w:hint="eastAsia" w:ascii="宋体" w:hAnsi="宋体" w:cs="宋体"/>
                <w:bCs/>
                <w:color w:val="000000" w:themeColor="text1"/>
                <w:sz w:val="24"/>
                <w:szCs w:val="24"/>
                <w14:textFill>
                  <w14:solidFill>
                    <w14:schemeClr w14:val="tx1"/>
                  </w14:solidFill>
                </w14:textFill>
              </w:rPr>
            </w:pPr>
            <w:bookmarkStart w:id="8" w:name="OLE_LINK8"/>
            <w:r>
              <w:rPr>
                <w:rFonts w:hint="eastAsia" w:ascii="宋体" w:hAnsi="宋体" w:cs="宋体"/>
                <w:bCs/>
                <w:color w:val="000000" w:themeColor="text1"/>
                <w:sz w:val="24"/>
                <w:szCs w:val="24"/>
                <w14:textFill>
                  <w14:solidFill>
                    <w14:schemeClr w14:val="tx1"/>
                  </w14:solidFill>
                </w14:textFill>
              </w:rPr>
              <w:t>根据投标人所提供的【</w:t>
            </w:r>
            <w:bookmarkEnd w:id="8"/>
            <w:r>
              <w:rPr>
                <w:rFonts w:hint="eastAsia" w:ascii="宋体" w:hAnsi="宋体" w:cs="宋体"/>
                <w:bCs/>
                <w:color w:val="000000" w:themeColor="text1"/>
                <w:sz w:val="24"/>
                <w:szCs w:val="24"/>
                <w14:textFill>
                  <w14:solidFill>
                    <w14:schemeClr w14:val="tx1"/>
                  </w14:solidFill>
                </w14:textFill>
              </w:rPr>
              <w:t>LED视频拼接处理器】（序号15）进行评价：</w:t>
            </w:r>
          </w:p>
          <w:p w14:paraId="7165B839">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3.提供</w:t>
            </w:r>
            <w:r>
              <w:rPr>
                <w:rFonts w:hint="default" w:ascii="宋体" w:hAnsi="宋体" w:cs="宋体"/>
                <w:bCs/>
                <w:color w:val="000000" w:themeColor="text1"/>
                <w:sz w:val="24"/>
                <w:szCs w:val="24"/>
                <w14:textFill>
                  <w14:solidFill>
                    <w14:schemeClr w14:val="tx1"/>
                  </w14:solidFill>
                </w14:textFill>
              </w:rPr>
              <w:t>至少</w:t>
            </w:r>
            <w:r>
              <w:rPr>
                <w:rFonts w:hint="eastAsia" w:ascii="宋体" w:hAnsi="宋体" w:cs="宋体"/>
                <w:bCs/>
                <w:color w:val="000000" w:themeColor="text1"/>
                <w:sz w:val="24"/>
                <w:szCs w:val="24"/>
                <w14:textFill>
                  <w14:solidFill>
                    <w14:schemeClr w14:val="tx1"/>
                  </w14:solidFill>
                </w14:textFill>
              </w:rPr>
              <w:t>1张2路HDMI2.0+2路DP1.2输入卡（2路4K）和</w:t>
            </w:r>
            <w:r>
              <w:rPr>
                <w:rFonts w:hint="default" w:ascii="宋体" w:hAnsi="宋体" w:cs="宋体"/>
                <w:bCs/>
                <w:color w:val="000000" w:themeColor="text1"/>
                <w:sz w:val="24"/>
                <w:szCs w:val="24"/>
                <w14:textFill>
                  <w14:solidFill>
                    <w14:schemeClr w14:val="tx1"/>
                  </w14:solidFill>
                </w14:textFill>
              </w:rPr>
              <w:t>至少</w:t>
            </w:r>
            <w:r>
              <w:rPr>
                <w:rFonts w:hint="eastAsia" w:ascii="宋体" w:hAnsi="宋体" w:cs="宋体"/>
                <w:bCs/>
                <w:color w:val="000000" w:themeColor="text1"/>
                <w:sz w:val="24"/>
                <w:szCs w:val="24"/>
                <w14:textFill>
                  <w14:solidFill>
                    <w14:schemeClr w14:val="tx1"/>
                  </w14:solidFill>
                </w14:textFill>
              </w:rPr>
              <w:t>1张20路网口输出卡备用；提供书面承诺函（格式自拟）承诺配备以上备品的得1分，未承诺配备的不得分。</w:t>
            </w:r>
          </w:p>
          <w:p w14:paraId="48BAB5E6">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4.设备</w:t>
            </w:r>
            <w:r>
              <w:rPr>
                <w:rFonts w:hint="default" w:ascii="宋体" w:hAnsi="宋体" w:cs="宋体"/>
                <w:bCs/>
                <w:color w:val="000000" w:themeColor="text1"/>
                <w:sz w:val="24"/>
                <w:szCs w:val="24"/>
                <w14:textFill>
                  <w14:solidFill>
                    <w14:schemeClr w14:val="tx1"/>
                  </w14:solidFill>
                </w14:textFill>
              </w:rPr>
              <w:t>可</w:t>
            </w:r>
            <w:r>
              <w:rPr>
                <w:rFonts w:hint="eastAsia" w:ascii="宋体" w:hAnsi="宋体" w:cs="宋体"/>
                <w:bCs/>
                <w:color w:val="000000" w:themeColor="text1"/>
                <w:sz w:val="24"/>
                <w:szCs w:val="24"/>
                <w14:textFill>
                  <w14:solidFill>
                    <w14:schemeClr w14:val="tx1"/>
                  </w14:solidFill>
                </w14:textFill>
              </w:rPr>
              <w:t>支持以下7种规格输入输出板卡：①单卡HDMI2.1+DP1.4视频输入接口，②单卡8路HDMI1.3输入接口；③单卡16网口+2光口发送卡、④单卡20网口发送卡、⑤单卡4光口二合一输出板卡、⑥单卡4路HDMI+4路3.5mm音频输入接口、⑦单卡4路凤凰端子音频输入+4路凤凰端子音频输出接口；（须提供产品实物接口照片或产品规格书佐证），满足的得1分，不满足的不得分。</w:t>
            </w:r>
          </w:p>
          <w:p w14:paraId="32E59797">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5.</w:t>
            </w:r>
            <w:bookmarkStart w:id="9" w:name="OLE_LINK32"/>
            <w:bookmarkStart w:id="10" w:name="OLE_LINK33"/>
            <w:r>
              <w:rPr>
                <w:rFonts w:hint="eastAsia" w:ascii="宋体" w:hAnsi="宋体" w:cs="宋体"/>
                <w:bCs/>
                <w:color w:val="000000" w:themeColor="text1"/>
                <w:sz w:val="24"/>
                <w:szCs w:val="24"/>
                <w14:textFill>
                  <w14:solidFill>
                    <w14:schemeClr w14:val="tx1"/>
                  </w14:solidFill>
                </w14:textFill>
              </w:rPr>
              <w:t>中控子卡单卡</w:t>
            </w:r>
            <w:r>
              <w:rPr>
                <w:rFonts w:hint="default" w:ascii="宋体" w:hAnsi="宋体" w:cs="宋体"/>
                <w:bCs/>
                <w:color w:val="000000" w:themeColor="text1"/>
                <w:sz w:val="24"/>
                <w:szCs w:val="24"/>
                <w14:textFill>
                  <w14:solidFill>
                    <w14:schemeClr w14:val="tx1"/>
                  </w14:solidFill>
                </w14:textFill>
              </w:rPr>
              <w:t>至少</w:t>
            </w:r>
            <w:r>
              <w:rPr>
                <w:rFonts w:hint="eastAsia" w:ascii="宋体" w:hAnsi="宋体" w:cs="宋体"/>
                <w:bCs/>
                <w:color w:val="000000" w:themeColor="text1"/>
                <w:sz w:val="24"/>
                <w:szCs w:val="24"/>
                <w14:textFill>
                  <w14:solidFill>
                    <w14:schemeClr w14:val="tx1"/>
                  </w14:solidFill>
                </w14:textFill>
              </w:rPr>
              <w:t>支持COM、</w:t>
            </w:r>
            <w:bookmarkEnd w:id="9"/>
            <w:bookmarkEnd w:id="10"/>
            <w:r>
              <w:rPr>
                <w:rFonts w:hint="eastAsia" w:ascii="宋体" w:hAnsi="宋体" w:cs="宋体"/>
                <w:bCs/>
                <w:color w:val="000000" w:themeColor="text1"/>
                <w:sz w:val="24"/>
                <w:szCs w:val="24"/>
                <w14:textFill>
                  <w14:solidFill>
                    <w14:schemeClr w14:val="tx1"/>
                  </w14:solidFill>
                </w14:textFill>
              </w:rPr>
              <w:t>REALY、IR、I/O、CAN、USB、Ethernet等类型控制接口；（须提供产品实物接口照片或产品规格书佐证），满足的得1分，不满足的不得分。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6D550E91">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w:t>
            </w:r>
          </w:p>
        </w:tc>
      </w:tr>
      <w:tr w14:paraId="5E982F0E">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68DD8939">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1-7</w:t>
            </w:r>
          </w:p>
        </w:tc>
        <w:tc>
          <w:tcPr>
            <w:tcW w:w="3973" w:type="pct"/>
            <w:tcBorders>
              <w:top w:val="single" w:color="auto" w:sz="4" w:space="0"/>
              <w:left w:val="single" w:color="auto" w:sz="4" w:space="0"/>
              <w:bottom w:val="single" w:color="auto" w:sz="4" w:space="0"/>
              <w:right w:val="single" w:color="auto" w:sz="4" w:space="0"/>
            </w:tcBorders>
            <w:shd w:val="clear" w:color="auto" w:fill="auto"/>
          </w:tcPr>
          <w:p w14:paraId="5E068AE1">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根据投标人所提供的【LED视频拼接处理器】（序号15）进行评价：</w:t>
            </w:r>
          </w:p>
          <w:p w14:paraId="2BB1ACBD">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8.支持对账户登录验证规则、密码复杂程度规则、会话活跃时长规则以及账户登录权限规则的自定义；用户可根据实际情况按需配置期望的安全验证规则；（须提供设备功能截图或产品规格书佐证），满足的得1分，不满足的不得分。</w:t>
            </w:r>
          </w:p>
          <w:p w14:paraId="5645BB9E">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10.为了提升设备的故障排查效率，可监测设备输入输出板卡、接口、电源、 风扇实时状态,支持设备在线自检，包括但不限于设备运行情况、CPU、内存情况、温度等，支持主动报警、颜色告警等智能运维；（须提供设备功能截图或产品规格书佐证），满足的得1分，不满足的不得分。</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1C5AAFDA">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0B259F84">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706ED1E2">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1-8</w:t>
            </w:r>
          </w:p>
        </w:tc>
        <w:tc>
          <w:tcPr>
            <w:tcW w:w="3973" w:type="pct"/>
            <w:tcBorders>
              <w:top w:val="single" w:color="auto" w:sz="4" w:space="0"/>
              <w:left w:val="single" w:color="auto" w:sz="4" w:space="0"/>
              <w:bottom w:val="single" w:color="auto" w:sz="4" w:space="0"/>
              <w:right w:val="single" w:color="auto" w:sz="4" w:space="0"/>
            </w:tcBorders>
          </w:tcPr>
          <w:p w14:paraId="40C08D79">
            <w:pPr>
              <w:spacing w:line="360" w:lineRule="auto"/>
              <w:rPr>
                <w:rFonts w:hint="eastAsia" w:ascii="宋体" w:hAnsi="宋体" w:cs="宋体"/>
                <w:bCs/>
                <w:color w:val="000000" w:themeColor="text1"/>
                <w:sz w:val="24"/>
                <w:szCs w:val="24"/>
                <w14:textFill>
                  <w14:solidFill>
                    <w14:schemeClr w14:val="tx1"/>
                  </w14:solidFill>
                </w14:textFill>
              </w:rPr>
            </w:pPr>
            <w:bookmarkStart w:id="11" w:name="OLE_LINK10"/>
            <w:r>
              <w:rPr>
                <w:rFonts w:hint="eastAsia" w:ascii="宋体" w:hAnsi="宋体" w:cs="宋体"/>
                <w:bCs/>
                <w:color w:val="000000" w:themeColor="text1"/>
                <w:sz w:val="24"/>
                <w:szCs w:val="24"/>
                <w14:textFill>
                  <w14:solidFill>
                    <w14:schemeClr w14:val="tx1"/>
                  </w14:solidFill>
                </w14:textFill>
              </w:rPr>
              <w:t>根据投标人所提供的【</w:t>
            </w:r>
            <w:bookmarkEnd w:id="11"/>
            <w:r>
              <w:rPr>
                <w:rFonts w:hint="eastAsia" w:ascii="宋体" w:hAnsi="宋体" w:cs="宋体"/>
                <w:bCs/>
                <w:color w:val="000000" w:themeColor="text1"/>
                <w:sz w:val="24"/>
                <w:szCs w:val="24"/>
                <w14:textFill>
                  <w14:solidFill>
                    <w14:schemeClr w14:val="tx1"/>
                  </w14:solidFill>
                </w14:textFill>
              </w:rPr>
              <w:t>多媒体播控终端四】（序号17）</w:t>
            </w:r>
            <w:bookmarkStart w:id="12" w:name="OLE_LINK9"/>
            <w:r>
              <w:rPr>
                <w:rFonts w:hint="eastAsia" w:ascii="宋体" w:hAnsi="宋体" w:cs="宋体"/>
                <w:bCs/>
                <w:color w:val="000000" w:themeColor="text1"/>
                <w:sz w:val="24"/>
                <w:szCs w:val="24"/>
                <w14:textFill>
                  <w14:solidFill>
                    <w14:schemeClr w14:val="tx1"/>
                  </w14:solidFill>
                </w14:textFill>
              </w:rPr>
              <w:t>进行评价：</w:t>
            </w:r>
          </w:p>
          <w:bookmarkEnd w:id="12"/>
          <w:p w14:paraId="18C84249">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4.支持</w:t>
            </w:r>
            <w:bookmarkStart w:id="13" w:name="OLE_LINK4"/>
            <w:r>
              <w:rPr>
                <w:rFonts w:hint="eastAsia" w:ascii="宋体" w:hAnsi="宋体" w:cs="宋体"/>
                <w:bCs/>
                <w:color w:val="000000" w:themeColor="text1"/>
                <w:sz w:val="24"/>
                <w:szCs w:val="24"/>
                <w14:textFill>
                  <w14:solidFill>
                    <w14:schemeClr w14:val="tx1"/>
                  </w14:solidFill>
                </w14:textFill>
              </w:rPr>
              <w:t>凤凰端子</w:t>
            </w:r>
            <w:bookmarkEnd w:id="13"/>
            <w:r>
              <w:rPr>
                <w:rFonts w:hint="eastAsia" w:ascii="宋体" w:hAnsi="宋体" w:cs="宋体"/>
                <w:bCs/>
                <w:color w:val="000000" w:themeColor="text1"/>
                <w:sz w:val="24"/>
                <w:szCs w:val="24"/>
                <w14:textFill>
                  <w14:solidFill>
                    <w14:schemeClr w14:val="tx1"/>
                  </w14:solidFill>
                </w14:textFill>
              </w:rPr>
              <w:t>直接连接中控设备，整机不低于10路 USB接口；不低于7路 PCIE 3.0插槽；支持PS/2安全接口用于连接鼠标键盘；（须提供产品实物接口照片或产品规格书佐证），满足的得1分，不满足的不得分。</w:t>
            </w:r>
          </w:p>
          <w:p w14:paraId="7DBB9778">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5.支持任意一台设备作为超级管理端，可以局域网内其他同系列设备进行超级管理，支持同时控制多个播放端进行节目切换、暂停、停止等操作；（须提供设备功能截图或产品规格书进行佐证），满足的得1分，不满足的不得分。</w:t>
            </w:r>
          </w:p>
          <w:p w14:paraId="159096B2">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6.支持对视频文件按照独有的格式进行加密，只有在授权密码校验通过后且在有效设定时间（如3个月）内才能正常播放；（须提供设备功能截图或产品规格书进行佐证），满足的得1分，不满足的不得分。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4CB7F2A">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w:t>
            </w:r>
          </w:p>
        </w:tc>
      </w:tr>
      <w:tr w14:paraId="45059C98">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5CEB4099">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1-9</w:t>
            </w:r>
          </w:p>
        </w:tc>
        <w:tc>
          <w:tcPr>
            <w:tcW w:w="3973" w:type="pct"/>
            <w:tcBorders>
              <w:top w:val="single" w:color="auto" w:sz="4" w:space="0"/>
              <w:left w:val="single" w:color="auto" w:sz="4" w:space="0"/>
              <w:bottom w:val="single" w:color="auto" w:sz="4" w:space="0"/>
              <w:right w:val="single" w:color="auto" w:sz="4" w:space="0"/>
            </w:tcBorders>
          </w:tcPr>
          <w:p w14:paraId="187C6470">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根据投标人所提供的【超高分辨率同步播放软件二】（序号18）</w:t>
            </w:r>
            <w:bookmarkStart w:id="14" w:name="OLE_LINK16"/>
            <w:r>
              <w:rPr>
                <w:rFonts w:hint="eastAsia" w:ascii="宋体" w:hAnsi="宋体" w:cs="宋体"/>
                <w:bCs/>
                <w:color w:val="000000" w:themeColor="text1"/>
                <w:sz w:val="24"/>
                <w:szCs w:val="24"/>
                <w14:textFill>
                  <w14:solidFill>
                    <w14:schemeClr w14:val="tx1"/>
                  </w14:solidFill>
                </w14:textFill>
              </w:rPr>
              <w:t>进行评价：</w:t>
            </w:r>
          </w:p>
          <w:bookmarkEnd w:id="14"/>
          <w:p w14:paraId="2850D445">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7.内置显卡调试助手，支持多显卡分辨率设置、EDID管理、接口MOSAIC，并可查看显卡信息并进行管理；（须提供软件功能截图或用户手册佐证），满足的得1分，不满足的不得分。</w:t>
            </w:r>
          </w:p>
          <w:p w14:paraId="79960AC4">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ascii="宋体" w:hAnsi="宋体" w:cs="宋体"/>
                <w:bCs/>
                <w:color w:val="000000" w:themeColor="text1"/>
                <w:sz w:val="24"/>
                <w:szCs w:val="24"/>
                <w14:textFill>
                  <w14:solidFill>
                    <w14:schemeClr w14:val="tx1"/>
                  </w14:solidFill>
                </w14:textFill>
              </w:rPr>
              <w:t>10.软件自带转码工具，支持对视频的编码，码率，帧率，分辨率等参数进行转码修改转为需要的格式；（须提供软件功能截图或用户手册佐证）</w:t>
            </w:r>
            <w:r>
              <w:rPr>
                <w:rFonts w:hint="eastAsia" w:ascii="宋体" w:hAnsi="宋体" w:cs="宋体"/>
                <w:bCs/>
                <w:color w:val="000000" w:themeColor="text1"/>
                <w:sz w:val="24"/>
                <w:szCs w:val="24"/>
                <w14:textFill>
                  <w14:solidFill>
                    <w14:schemeClr w14:val="tx1"/>
                  </w14:solidFill>
                </w14:textFill>
              </w:rPr>
              <w:t>，满足的得1分，不满足的不得分。</w:t>
            </w:r>
          </w:p>
          <w:p w14:paraId="0875F90B">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ascii="宋体" w:hAnsi="宋体" w:cs="宋体"/>
                <w:bCs/>
                <w:color w:val="000000" w:themeColor="text1"/>
                <w:sz w:val="24"/>
                <w:szCs w:val="24"/>
                <w14:textFill>
                  <w14:solidFill>
                    <w14:schemeClr w14:val="tx1"/>
                  </w14:solidFill>
                </w14:textFill>
              </w:rPr>
              <w:t>13.支持接入Deepseek和联网搜索，可通过AI问答帮助用户快速生成图片，并可根据用户提问来回答播控软件怎么使用；（须提供软件功能截图或用户手册佐证）</w:t>
            </w:r>
            <w:r>
              <w:rPr>
                <w:rFonts w:hint="eastAsia" w:ascii="宋体" w:hAnsi="宋体" w:cs="宋体"/>
                <w:bCs/>
                <w:color w:val="000000" w:themeColor="text1"/>
                <w:sz w:val="24"/>
                <w:szCs w:val="24"/>
                <w14:textFill>
                  <w14:solidFill>
                    <w14:schemeClr w14:val="tx1"/>
                  </w14:solidFill>
                </w14:textFill>
              </w:rPr>
              <w:t>，满足的得1分，不满足的不得分。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736F81E">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w:t>
            </w:r>
          </w:p>
        </w:tc>
      </w:tr>
      <w:tr w14:paraId="69B37DE8">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19EEDED5">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1-10</w:t>
            </w:r>
          </w:p>
        </w:tc>
        <w:tc>
          <w:tcPr>
            <w:tcW w:w="3973" w:type="pct"/>
            <w:tcBorders>
              <w:top w:val="single" w:color="auto" w:sz="4" w:space="0"/>
              <w:left w:val="single" w:color="auto" w:sz="4" w:space="0"/>
              <w:bottom w:val="single" w:color="auto" w:sz="4" w:space="0"/>
              <w:right w:val="single" w:color="auto" w:sz="4" w:space="0"/>
            </w:tcBorders>
          </w:tcPr>
          <w:p w14:paraId="16614070">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根据投标人所提供的【P1.8 LED显示屏】（序号19）进行评价：</w:t>
            </w:r>
          </w:p>
          <w:p w14:paraId="4690B13D">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584BCCE0">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43770-2024《室内LED显示屏规范》或SJ/T 11141-2025《发光二极管(LED)显示屏通用规范》的具有CMA标识第三方检测机构出具的检测报告复印件进行佐证），满足的得1分，不满足的不得分。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4C1FE2DC">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46FDBFB0">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51E06B29">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1-11</w:t>
            </w:r>
          </w:p>
        </w:tc>
        <w:tc>
          <w:tcPr>
            <w:tcW w:w="3973" w:type="pct"/>
            <w:tcBorders>
              <w:top w:val="single" w:color="auto" w:sz="4" w:space="0"/>
              <w:left w:val="single" w:color="auto" w:sz="4" w:space="0"/>
              <w:bottom w:val="single" w:color="auto" w:sz="4" w:space="0"/>
              <w:right w:val="single" w:color="auto" w:sz="4" w:space="0"/>
            </w:tcBorders>
          </w:tcPr>
          <w:p w14:paraId="5DF3E805">
            <w:pPr>
              <w:spacing w:line="360" w:lineRule="auto"/>
              <w:rPr>
                <w:rFonts w:hint="eastAsia" w:ascii="宋体" w:hAnsi="宋体" w:cs="宋体"/>
                <w:bCs/>
                <w:color w:val="000000" w:themeColor="text1"/>
                <w:sz w:val="24"/>
                <w:szCs w:val="24"/>
                <w14:textFill>
                  <w14:solidFill>
                    <w14:schemeClr w14:val="tx1"/>
                  </w14:solidFill>
                </w14:textFill>
              </w:rPr>
            </w:pPr>
            <w:bookmarkStart w:id="15" w:name="OLE_LINK17"/>
            <w:r>
              <w:rPr>
                <w:rFonts w:hint="eastAsia" w:ascii="宋体" w:hAnsi="宋体" w:cs="宋体"/>
                <w:bCs/>
                <w:color w:val="000000" w:themeColor="text1"/>
                <w:sz w:val="24"/>
                <w:szCs w:val="24"/>
                <w14:textFill>
                  <w14:solidFill>
                    <w14:schemeClr w14:val="tx1"/>
                  </w14:solidFill>
                </w14:textFill>
              </w:rPr>
              <w:t>根据投标人所提供的【</w:t>
            </w:r>
            <w:bookmarkEnd w:id="15"/>
            <w:r>
              <w:rPr>
                <w:rFonts w:hint="eastAsia" w:ascii="宋体" w:hAnsi="宋体" w:cs="宋体"/>
                <w:bCs/>
                <w:color w:val="000000" w:themeColor="text1"/>
                <w:sz w:val="24"/>
                <w:szCs w:val="24"/>
                <w14:textFill>
                  <w14:solidFill>
                    <w14:schemeClr w14:val="tx1"/>
                  </w14:solidFill>
                </w14:textFill>
              </w:rPr>
              <w:t>多媒体播控终端二】（序号23、35）进行评价：</w:t>
            </w:r>
          </w:p>
          <w:p w14:paraId="790E4289">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5.支持不少于3个输出接口的任意拆分重组以及任意角度旋转，支持预编辑输出，可在预览编辑完成后再进行媒体素材的一键输出播放；（须提供设备功能截图或产品规格书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7EFEE9C1">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1</w:t>
            </w:r>
          </w:p>
        </w:tc>
      </w:tr>
      <w:tr w14:paraId="3616DA7F">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25502383">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1-12</w:t>
            </w:r>
          </w:p>
        </w:tc>
        <w:tc>
          <w:tcPr>
            <w:tcW w:w="3973" w:type="pct"/>
            <w:tcBorders>
              <w:top w:val="single" w:color="auto" w:sz="4" w:space="0"/>
              <w:left w:val="single" w:color="auto" w:sz="4" w:space="0"/>
              <w:bottom w:val="single" w:color="auto" w:sz="4" w:space="0"/>
              <w:right w:val="single" w:color="auto" w:sz="4" w:space="0"/>
            </w:tcBorders>
          </w:tcPr>
          <w:p w14:paraId="6D238F53">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根据投标人所提供的【P1.2柔性LED显示屏】（序号25）</w:t>
            </w:r>
            <w:bookmarkStart w:id="16" w:name="OLE_LINK18"/>
            <w:r>
              <w:rPr>
                <w:rFonts w:hint="eastAsia" w:ascii="宋体" w:hAnsi="宋体" w:cs="宋体"/>
                <w:bCs/>
                <w:color w:val="000000" w:themeColor="text1"/>
                <w:sz w:val="24"/>
                <w:szCs w:val="24"/>
                <w14:textFill>
                  <w14:solidFill>
                    <w14:schemeClr w14:val="tx1"/>
                  </w14:solidFill>
                </w14:textFill>
              </w:rPr>
              <w:t>进行评价：</w:t>
            </w:r>
          </w:p>
          <w:bookmarkEnd w:id="16"/>
          <w:p w14:paraId="49E2E935">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8.显示屏白场色品坐标：依据SJ/T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7383C990">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：≥4800HZ；(提供符合“一单一库”能力项目库内标准编号GB/T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0D2DF578">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产品模组供电和控制集成一体化，电源、信号采用一个type-c接口一线传输，电源信号具有盲插功能，无需区分方向；（须提供柔性单元板通过type-c接口一线点亮后的照片，或产品规格书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7B4434C2">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w:t>
            </w:r>
          </w:p>
        </w:tc>
      </w:tr>
      <w:tr w14:paraId="6F113546">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04FDF312">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1-13</w:t>
            </w:r>
          </w:p>
        </w:tc>
        <w:tc>
          <w:tcPr>
            <w:tcW w:w="3973" w:type="pct"/>
            <w:tcBorders>
              <w:top w:val="single" w:color="auto" w:sz="4" w:space="0"/>
              <w:left w:val="single" w:color="auto" w:sz="4" w:space="0"/>
              <w:bottom w:val="single" w:color="auto" w:sz="4" w:space="0"/>
              <w:right w:val="single" w:color="auto" w:sz="4" w:space="0"/>
            </w:tcBorders>
          </w:tcPr>
          <w:p w14:paraId="7D3215C7">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根据投标人所提供的【P1.5LED显示屏】（序号31）</w:t>
            </w:r>
            <w:bookmarkStart w:id="17" w:name="OLE_LINK19"/>
            <w:r>
              <w:rPr>
                <w:rFonts w:hint="eastAsia" w:ascii="宋体" w:hAnsi="宋体" w:cs="宋体"/>
                <w:bCs/>
                <w:color w:val="000000" w:themeColor="text1"/>
                <w:sz w:val="24"/>
                <w:szCs w:val="24"/>
                <w14:textFill>
                  <w14:solidFill>
                    <w14:schemeClr w14:val="tx1"/>
                  </w14:solidFill>
                </w14:textFill>
              </w:rPr>
              <w:t>进行评价：</w:t>
            </w:r>
          </w:p>
          <w:bookmarkEnd w:id="17"/>
          <w:p w14:paraId="3F7EF09F">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0EB96128">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031A9531">
            <w:pPr>
              <w:spacing w:line="360" w:lineRule="auto"/>
              <w:rPr>
                <w:rFonts w:hint="eastAsia" w:ascii="宋体" w:hAnsi="宋体" w:cs="宋体"/>
                <w:bCs/>
                <w:color w:val="000000" w:themeColor="text1"/>
                <w:sz w:val="24"/>
                <w:szCs w:val="24"/>
                <w14:textFill>
                  <w14:solidFill>
                    <w14:schemeClr w14:val="tx1"/>
                  </w14:solidFill>
                </w14:textFill>
              </w:rPr>
            </w:pPr>
            <w:bookmarkStart w:id="18" w:name="OLE_LINK30"/>
            <w:bookmarkStart w:id="19" w:name="OLE_LINK31"/>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.模组采用卡扣式后盖，无需使用工具即可拆卸；（须提供模组安装了卡扣式后盖的照片，或者模组产品规格书作为佐证）</w:t>
            </w:r>
            <w:bookmarkEnd w:id="18"/>
            <w:bookmarkEnd w:id="19"/>
            <w:r>
              <w:rPr>
                <w:rFonts w:hint="eastAsia" w:ascii="宋体" w:hAnsi="宋体" w:cs="宋体"/>
                <w:bCs/>
                <w:color w:val="000000" w:themeColor="text1"/>
                <w:sz w:val="24"/>
                <w:szCs w:val="24"/>
                <w14:textFill>
                  <w14:solidFill>
                    <w14:schemeClr w14:val="tx1"/>
                  </w14:solidFill>
                </w14:textFill>
              </w:rPr>
              <w:t>，满足的得1分，不满足的不得分。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06790E31">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3</w:t>
            </w:r>
          </w:p>
        </w:tc>
      </w:tr>
      <w:tr w14:paraId="6E173C7F">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49592635">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1-14</w:t>
            </w:r>
          </w:p>
        </w:tc>
        <w:tc>
          <w:tcPr>
            <w:tcW w:w="3973" w:type="pct"/>
            <w:tcBorders>
              <w:top w:val="single" w:color="auto" w:sz="4" w:space="0"/>
              <w:left w:val="single" w:color="auto" w:sz="4" w:space="0"/>
              <w:bottom w:val="single" w:color="auto" w:sz="4" w:space="0"/>
              <w:right w:val="single" w:color="auto" w:sz="4" w:space="0"/>
            </w:tcBorders>
          </w:tcPr>
          <w:p w14:paraId="213A02C2">
            <w:pPr>
              <w:spacing w:line="360" w:lineRule="auto"/>
              <w:rPr>
                <w:rFonts w:hint="eastAsia" w:ascii="宋体" w:hAnsi="宋体" w:cs="宋体"/>
                <w:bCs/>
                <w:color w:val="000000" w:themeColor="text1"/>
                <w:sz w:val="24"/>
                <w:szCs w:val="24"/>
                <w14:textFill>
                  <w14:solidFill>
                    <w14:schemeClr w14:val="tx1"/>
                  </w14:solidFill>
                </w14:textFill>
              </w:rPr>
            </w:pPr>
            <w:bookmarkStart w:id="20" w:name="OLE_LINK20"/>
            <w:r>
              <w:rPr>
                <w:rFonts w:hint="eastAsia" w:ascii="宋体" w:hAnsi="宋体" w:cs="宋体"/>
                <w:bCs/>
                <w:color w:val="000000" w:themeColor="text1"/>
                <w:sz w:val="24"/>
                <w:szCs w:val="24"/>
                <w14:textFill>
                  <w14:solidFill>
                    <w14:schemeClr w14:val="tx1"/>
                  </w14:solidFill>
                </w14:textFill>
              </w:rPr>
              <w:t>根据投标人所提供的【</w:t>
            </w:r>
            <w:bookmarkEnd w:id="20"/>
            <w:r>
              <w:rPr>
                <w:rFonts w:hint="eastAsia" w:ascii="宋体" w:hAnsi="宋体" w:cs="宋体"/>
                <w:bCs/>
                <w:color w:val="000000" w:themeColor="text1"/>
                <w:sz w:val="24"/>
                <w:szCs w:val="24"/>
                <w14:textFill>
                  <w14:solidFill>
                    <w14:schemeClr w14:val="tx1"/>
                  </w14:solidFill>
                </w14:textFill>
              </w:rPr>
              <w:t>P1.8 LED显示屏】（序号37）进行评价：</w:t>
            </w:r>
          </w:p>
          <w:p w14:paraId="68D66238">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50B21F21">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0D9F762D">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.模组采用卡扣式后盖，无需使用工具即可拆卸；（须提供模组安装了卡扣式后盖的照片，或者模组产品规格书作为佐证），满足的得1分，不满足的不得分。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4770B98">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3</w:t>
            </w:r>
          </w:p>
        </w:tc>
      </w:tr>
      <w:tr w14:paraId="7D1F40D8">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09C03625">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1-15</w:t>
            </w:r>
          </w:p>
        </w:tc>
        <w:tc>
          <w:tcPr>
            <w:tcW w:w="3973" w:type="pct"/>
            <w:tcBorders>
              <w:top w:val="single" w:color="auto" w:sz="4" w:space="0"/>
              <w:left w:val="single" w:color="auto" w:sz="4" w:space="0"/>
              <w:bottom w:val="single" w:color="auto" w:sz="4" w:space="0"/>
              <w:right w:val="single" w:color="auto" w:sz="4" w:space="0"/>
            </w:tcBorders>
          </w:tcPr>
          <w:p w14:paraId="63EE0C67">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根据投标人所提供的【P1.5 LED显示屏】（序号43）</w:t>
            </w:r>
            <w:bookmarkStart w:id="21" w:name="OLE_LINK21"/>
            <w:r>
              <w:rPr>
                <w:rFonts w:hint="eastAsia" w:ascii="宋体" w:hAnsi="宋体" w:cs="宋体"/>
                <w:bCs/>
                <w:color w:val="000000" w:themeColor="text1"/>
                <w:sz w:val="24"/>
                <w:szCs w:val="24"/>
                <w14:textFill>
                  <w14:solidFill>
                    <w14:schemeClr w14:val="tx1"/>
                  </w14:solidFill>
                </w14:textFill>
              </w:rPr>
              <w:t>进行评价：</w:t>
            </w:r>
            <w:bookmarkEnd w:id="21"/>
          </w:p>
          <w:p w14:paraId="42A6C652">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69088473">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53B26832">
            <w:pPr>
              <w:spacing w:line="360" w:lineRule="auto"/>
              <w:rPr>
                <w:rFonts w:hint="eastAsia" w:ascii="宋体" w:hAnsi="宋体" w:cs="宋体"/>
                <w:bCs/>
                <w:color w:val="000000" w:themeColor="text1"/>
                <w:sz w:val="24"/>
                <w:szCs w:val="24"/>
                <w14:textFill>
                  <w14:solidFill>
                    <w14:schemeClr w14:val="tx1"/>
                  </w14:solidFill>
                </w14:textFill>
              </w:rPr>
            </w:pPr>
            <w:bookmarkStart w:id="22" w:name="OLE_LINK37"/>
            <w:bookmarkStart w:id="23" w:name="OLE_LINK38"/>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.模组采用卡扣式后盖，无需使用工具即可拆卸；（须提供模组安装了卡扣式后盖的照片，或者模组产品规格书作为佐证）</w:t>
            </w:r>
            <w:bookmarkEnd w:id="22"/>
            <w:bookmarkEnd w:id="23"/>
            <w:r>
              <w:rPr>
                <w:rFonts w:hint="eastAsia" w:ascii="宋体" w:hAnsi="宋体" w:cs="宋体"/>
                <w:bCs/>
                <w:color w:val="000000" w:themeColor="text1"/>
                <w:sz w:val="24"/>
                <w:szCs w:val="24"/>
                <w14:textFill>
                  <w14:solidFill>
                    <w14:schemeClr w14:val="tx1"/>
                  </w14:solidFill>
                </w14:textFill>
              </w:rPr>
              <w:t>，满足的得1分，不满足的不得分。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36EC5C24">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3</w:t>
            </w:r>
          </w:p>
        </w:tc>
      </w:tr>
      <w:tr w14:paraId="16A89FD0">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7A07D78F">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1-16</w:t>
            </w:r>
          </w:p>
        </w:tc>
        <w:tc>
          <w:tcPr>
            <w:tcW w:w="3973" w:type="pct"/>
            <w:tcBorders>
              <w:top w:val="single" w:color="auto" w:sz="4" w:space="0"/>
              <w:left w:val="single" w:color="auto" w:sz="4" w:space="0"/>
              <w:bottom w:val="single" w:color="auto" w:sz="4" w:space="0"/>
              <w:right w:val="single" w:color="auto" w:sz="4" w:space="0"/>
            </w:tcBorders>
          </w:tcPr>
          <w:p w14:paraId="71217F04">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根据投标人所提供的【P1.8柔性LED显示屏】（序号49）</w:t>
            </w:r>
            <w:bookmarkStart w:id="24" w:name="OLE_LINK26"/>
            <w:r>
              <w:rPr>
                <w:rFonts w:hint="eastAsia" w:ascii="宋体" w:hAnsi="宋体" w:cs="宋体"/>
                <w:bCs/>
                <w:color w:val="000000" w:themeColor="text1"/>
                <w:sz w:val="24"/>
                <w:szCs w:val="24"/>
                <w14:textFill>
                  <w14:solidFill>
                    <w14:schemeClr w14:val="tx1"/>
                  </w14:solidFill>
                </w14:textFill>
              </w:rPr>
              <w:t>进行评价：</w:t>
            </w:r>
          </w:p>
          <w:bookmarkEnd w:id="24"/>
          <w:p w14:paraId="437C72F0">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8.显示屏白场色品坐标：依据SJ/T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070E54E4">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：≥4800HZ；(提供符合“一单一库”能力项目库内标准编号GB/T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5940628C">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产品模组供电和控制集成一体化，电源、信号采用一个type-c接口一线传输，电源信号具有盲插功能，无需区分方向；（须提供柔性单元板通过type-c接口一线点亮后的照片，或产品规格书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0EC57778">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3</w:t>
            </w:r>
          </w:p>
        </w:tc>
      </w:tr>
      <w:tr w14:paraId="58F1E645">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1085FB20">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1-17</w:t>
            </w:r>
          </w:p>
        </w:tc>
        <w:tc>
          <w:tcPr>
            <w:tcW w:w="3973" w:type="pct"/>
            <w:tcBorders>
              <w:top w:val="single" w:color="auto" w:sz="4" w:space="0"/>
              <w:left w:val="single" w:color="auto" w:sz="4" w:space="0"/>
              <w:bottom w:val="single" w:color="auto" w:sz="4" w:space="0"/>
              <w:right w:val="single" w:color="auto" w:sz="4" w:space="0"/>
            </w:tcBorders>
          </w:tcPr>
          <w:p w14:paraId="289C3E4D">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根据投标人所提供的【P1.5 LED显示屏】（序号55）</w:t>
            </w:r>
            <w:bookmarkStart w:id="25" w:name="OLE_LINK27"/>
            <w:r>
              <w:rPr>
                <w:rFonts w:hint="eastAsia" w:ascii="宋体" w:hAnsi="宋体" w:cs="宋体"/>
                <w:bCs/>
                <w:color w:val="000000" w:themeColor="text1"/>
                <w:sz w:val="24"/>
                <w:szCs w:val="24"/>
                <w14:textFill>
                  <w14:solidFill>
                    <w14:schemeClr w14:val="tx1"/>
                  </w14:solidFill>
                </w14:textFill>
              </w:rPr>
              <w:t>进行评价：</w:t>
            </w:r>
          </w:p>
          <w:bookmarkEnd w:id="25"/>
          <w:p w14:paraId="60441C38">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03F0A537">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6E13F5FB">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.模组采用卡扣式后盖，无需使用工具即可拆卸；（须提供模组安装了卡扣式后盖的照片，或者模组产品规格书作为佐证），满足的得1分，不满足的不得分。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4A3FADE7">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3</w:t>
            </w:r>
          </w:p>
        </w:tc>
      </w:tr>
      <w:tr w14:paraId="7F4335B8">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0DAAE385">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1-18</w:t>
            </w:r>
          </w:p>
        </w:tc>
        <w:tc>
          <w:tcPr>
            <w:tcW w:w="3973" w:type="pct"/>
            <w:tcBorders>
              <w:top w:val="single" w:color="auto" w:sz="4" w:space="0"/>
              <w:left w:val="single" w:color="auto" w:sz="4" w:space="0"/>
              <w:bottom w:val="single" w:color="auto" w:sz="4" w:space="0"/>
              <w:right w:val="single" w:color="auto" w:sz="4" w:space="0"/>
            </w:tcBorders>
          </w:tcPr>
          <w:p w14:paraId="7FFC76EB">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根据投标人所提供的【P1.8LED显示屏】（序号61）</w:t>
            </w:r>
            <w:bookmarkStart w:id="26" w:name="OLE_LINK28"/>
            <w:r>
              <w:rPr>
                <w:rFonts w:hint="eastAsia" w:ascii="宋体" w:hAnsi="宋体" w:cs="宋体"/>
                <w:bCs/>
                <w:color w:val="000000" w:themeColor="text1"/>
                <w:sz w:val="24"/>
                <w:szCs w:val="24"/>
                <w14:textFill>
                  <w14:solidFill>
                    <w14:schemeClr w14:val="tx1"/>
                  </w14:solidFill>
                </w14:textFill>
              </w:rPr>
              <w:t>进行评价：</w:t>
            </w:r>
          </w:p>
          <w:bookmarkEnd w:id="26"/>
          <w:p w14:paraId="2C09E96C">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790BBF9E">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7B57F20">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06386E36">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14:paraId="1C20014A">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1-19</w:t>
            </w:r>
          </w:p>
        </w:tc>
        <w:tc>
          <w:tcPr>
            <w:tcW w:w="3973" w:type="pct"/>
            <w:tcBorders>
              <w:top w:val="single" w:color="auto" w:sz="4" w:space="0"/>
              <w:left w:val="single" w:color="auto" w:sz="4" w:space="0"/>
              <w:bottom w:val="single" w:color="auto" w:sz="4" w:space="0"/>
              <w:right w:val="single" w:color="auto" w:sz="4" w:space="0"/>
            </w:tcBorders>
          </w:tcPr>
          <w:p w14:paraId="203C54B3">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根据投标人所提供的【P1.5LED显示屏】（序号67）进行评价：</w:t>
            </w:r>
          </w:p>
          <w:p w14:paraId="75EDE08B">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7.显示屏白场色品坐标：依据SJ/T 11141-2025《发光二极管(LED)显示屏通用规范》标准白场色x坐标：0.27-0.37，y坐标：0.25-0.37(提供符合“一单一库”能力项目库内标准编号SJ/T 11141-2025《发光二极管(LED)显示屏通用规范》的具有CMA标识第三方检测机构出具的检测报告复印件进行佐证），满足的得1分，不满足的不得分。</w:t>
            </w:r>
          </w:p>
          <w:p w14:paraId="0B3CBB60">
            <w:pPr>
              <w:keepNext w:val="0"/>
              <w:keepLines w:val="0"/>
              <w:widowControl w:val="0"/>
              <w:suppressLineNumbers w:val="0"/>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显示屏视觉</w:t>
            </w:r>
            <w:r>
              <w:rPr>
                <w:rFonts w:hint="default" w:ascii="宋体" w:hAnsi="宋体" w:cs="宋体"/>
                <w:bCs/>
                <w:color w:val="000000" w:themeColor="text1"/>
                <w:sz w:val="24"/>
                <w:szCs w:val="24"/>
                <w14:textFill>
                  <w14:solidFill>
                    <w14:schemeClr w14:val="tx1"/>
                  </w14:solidFill>
                </w14:textFill>
              </w:rPr>
              <w:t>刷新频率</w:t>
            </w:r>
            <w:r>
              <w:rPr>
                <w:rFonts w:hint="eastAsia" w:ascii="宋体" w:hAnsi="宋体" w:cs="宋体"/>
                <w:bCs/>
                <w:color w:val="000000" w:themeColor="text1"/>
                <w:sz w:val="24"/>
                <w:szCs w:val="24"/>
                <w14:textFill>
                  <w14:solidFill>
                    <w14:schemeClr w14:val="tx1"/>
                  </w14:solidFill>
                </w14:textFill>
              </w:rPr>
              <w:t>：≥4200HZ；(提供符合“一单一库”能力项目库内标准编号GB/T 43770-2024《室内LED显示屏规范》</w:t>
            </w:r>
            <w:r>
              <w:rPr>
                <w:rFonts w:hint="eastAsia" w:ascii="宋体" w:hAnsi="宋体" w:eastAsia="宋体" w:cs="宋体"/>
                <w:bCs/>
                <w:color w:val="000000"/>
                <w:kern w:val="2"/>
                <w:sz w:val="24"/>
                <w:szCs w:val="24"/>
                <w:lang w:val="en-US" w:eastAsia="zh-CN" w:bidi="ar"/>
              </w:rPr>
              <w:t>或SJ/T 11141-2025《发光二极管(LED)显示屏通用规范》</w:t>
            </w:r>
            <w:r>
              <w:rPr>
                <w:rFonts w:hint="eastAsia" w:ascii="宋体" w:hAnsi="宋体" w:cs="宋体"/>
                <w:bCs/>
                <w:color w:val="000000" w:themeColor="text1"/>
                <w:sz w:val="24"/>
                <w:szCs w:val="24"/>
                <w14:textFill>
                  <w14:solidFill>
                    <w14:schemeClr w14:val="tx1"/>
                  </w14:solidFill>
                </w14:textFill>
              </w:rPr>
              <w:t>的具有CMA标识第三方检测机构出具的检测报告复印件进行佐证，满足的得1分，不满足的不得分。</w:t>
            </w:r>
          </w:p>
          <w:p w14:paraId="41A01B05">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（3）</w:t>
            </w: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.模组采用卡扣式后盖，无需使用工具即可拆卸；（须提供模组安装了卡扣式后盖的照片，或者模组产品规格书作为佐证），满足的得1分，不满足的不得分。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07E702D">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3</w:t>
            </w:r>
          </w:p>
        </w:tc>
      </w:tr>
      <w:tr w14:paraId="55E2DEAF">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46F5D8BD">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1-20</w:t>
            </w:r>
          </w:p>
        </w:tc>
        <w:tc>
          <w:tcPr>
            <w:tcW w:w="3973" w:type="pct"/>
            <w:tcBorders>
              <w:top w:val="single" w:color="auto" w:sz="4" w:space="0"/>
              <w:left w:val="single" w:color="auto" w:sz="4" w:space="0"/>
              <w:bottom w:val="single" w:color="auto" w:sz="4" w:space="0"/>
              <w:right w:val="single" w:color="auto" w:sz="4" w:space="0"/>
            </w:tcBorders>
          </w:tcPr>
          <w:p w14:paraId="2A69C9F9">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根据投标人所提供的【信息播控安全终端及软件】（序号73）进行评价：</w:t>
            </w:r>
          </w:p>
          <w:p w14:paraId="5BFF58DA">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（1）</w:t>
            </w:r>
            <w:r>
              <w:rPr>
                <w:rFonts w:hint="eastAsia" w:ascii="宋体" w:hAnsi="宋体" w:cs="宋体"/>
                <w:bCs/>
                <w:color w:val="000000" w:themeColor="text1"/>
                <w:sz w:val="24"/>
                <w:szCs w:val="24"/>
                <w14:textFill>
                  <w14:solidFill>
                    <w14:schemeClr w14:val="tx1"/>
                  </w14:solidFill>
                </w14:textFill>
              </w:rPr>
              <w:t>6.</w:t>
            </w:r>
            <w:r>
              <w:rPr>
                <w:rFonts w:hint="eastAsia"/>
                <w:color w:val="000000" w:themeColor="text1"/>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事后处理：支持登录管理平台，包含但不限于操作日志、登录日志、升级日志、策略日志、设备报警、告警事件、违规时间、违规类型、违规画面，可生成报表导出还原取证分析、溯源。（须提供设备功能截图或产品规格书佐证），满足的得1分，不满足的不得分。</w:t>
            </w:r>
          </w:p>
          <w:p w14:paraId="26BAF0AB">
            <w:pPr>
              <w:spacing w:line="360" w:lineRule="auto"/>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7.支持待办已办事项查询与操作，能够查看待办事项发起人、接收时间、流程状态等内容，查看待办事项具体内容，对内容进行审核，对待办事项执行同意或拒绝操作;支持查看内容安全监管设备详细记录，包含但不限于：设备告警记录、设备操作记录、设备健康状态、设备任务日志、设备升级日志，其中设备健康状态能够实时显示设备当前状态、网络信号、设备温度、HDMI是否接入、故障情况，方便用户更好对内容安全监管设备进行管控。（须提供设备功能截图或产品规格书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0F425873">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4B1211C5">
        <w:tblPrEx>
          <w:tblCellMar>
            <w:top w:w="0" w:type="dxa"/>
            <w:left w:w="108" w:type="dxa"/>
            <w:bottom w:w="0" w:type="dxa"/>
            <w:right w:w="108" w:type="dxa"/>
          </w:tblCellMar>
        </w:tblPrEx>
        <w:tc>
          <w:tcPr>
            <w:tcW w:w="505" w:type="pct"/>
            <w:tcBorders>
              <w:top w:val="single" w:color="auto" w:sz="4" w:space="0"/>
              <w:left w:val="single" w:color="auto" w:sz="4" w:space="0"/>
              <w:bottom w:val="single" w:color="auto" w:sz="4" w:space="0"/>
              <w:right w:val="single" w:color="auto" w:sz="4" w:space="0"/>
            </w:tcBorders>
            <w:vAlign w:val="center"/>
          </w:tcPr>
          <w:p w14:paraId="26187814">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1-21</w:t>
            </w:r>
          </w:p>
        </w:tc>
        <w:tc>
          <w:tcPr>
            <w:tcW w:w="3973" w:type="pct"/>
            <w:tcBorders>
              <w:top w:val="single" w:color="auto" w:sz="4" w:space="0"/>
              <w:left w:val="single" w:color="auto" w:sz="4" w:space="0"/>
              <w:bottom w:val="single" w:color="auto" w:sz="4" w:space="0"/>
              <w:right w:val="single" w:color="auto" w:sz="4" w:space="0"/>
            </w:tcBorders>
          </w:tcPr>
          <w:p w14:paraId="7EA1716F">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根据投标人所提供的【</w:t>
            </w:r>
            <w:r>
              <w:rPr>
                <w:rFonts w:ascii="宋体" w:hAnsi="宋体" w:cs="宋体"/>
                <w:bCs/>
                <w:color w:val="000000" w:themeColor="text1"/>
                <w:sz w:val="24"/>
                <w:szCs w:val="24"/>
                <w14:textFill>
                  <w14:solidFill>
                    <w14:schemeClr w14:val="tx1"/>
                  </w14:solidFill>
                </w14:textFill>
              </w:rPr>
              <w:t xml:space="preserve">100KW PLC </w:t>
            </w:r>
            <w:r>
              <w:rPr>
                <w:rFonts w:hint="eastAsia" w:ascii="宋体" w:hAnsi="宋体" w:cs="宋体"/>
                <w:bCs/>
                <w:color w:val="000000" w:themeColor="text1"/>
                <w:sz w:val="24"/>
                <w:szCs w:val="24"/>
                <w14:textFill>
                  <w14:solidFill>
                    <w14:schemeClr w14:val="tx1"/>
                  </w14:solidFill>
                </w14:textFill>
              </w:rPr>
              <w:t>LED屏配电箱】（序号</w:t>
            </w:r>
            <w:r>
              <w:rPr>
                <w:rFonts w:ascii="宋体" w:hAnsi="宋体" w:cs="宋体"/>
                <w:bCs/>
                <w:color w:val="000000" w:themeColor="text1"/>
                <w:sz w:val="24"/>
                <w:szCs w:val="24"/>
                <w14:textFill>
                  <w14:solidFill>
                    <w14:schemeClr w14:val="tx1"/>
                  </w14:solidFill>
                </w14:textFill>
              </w:rPr>
              <w:t>4</w:t>
            </w:r>
            <w:r>
              <w:rPr>
                <w:rFonts w:hint="eastAsia" w:ascii="宋体" w:hAnsi="宋体" w:cs="宋体"/>
                <w:bCs/>
                <w:color w:val="000000" w:themeColor="text1"/>
                <w:sz w:val="24"/>
                <w:szCs w:val="24"/>
                <w14:textFill>
                  <w14:solidFill>
                    <w14:schemeClr w14:val="tx1"/>
                  </w14:solidFill>
                </w14:textFill>
              </w:rPr>
              <w:t>、1</w:t>
            </w:r>
            <w:r>
              <w:rPr>
                <w:rFonts w:ascii="宋体" w:hAnsi="宋体" w:cs="宋体"/>
                <w:bCs/>
                <w:color w:val="000000" w:themeColor="text1"/>
                <w:sz w:val="24"/>
                <w:szCs w:val="24"/>
                <w14:textFill>
                  <w14:solidFill>
                    <w14:schemeClr w14:val="tx1"/>
                  </w14:solidFill>
                </w14:textFill>
              </w:rPr>
              <w:t>6</w:t>
            </w:r>
            <w:r>
              <w:rPr>
                <w:rFonts w:hint="eastAsia" w:ascii="宋体" w:hAnsi="宋体" w:cs="宋体"/>
                <w:bCs/>
                <w:color w:val="000000" w:themeColor="text1"/>
                <w:sz w:val="24"/>
                <w:szCs w:val="24"/>
                <w14:textFill>
                  <w14:solidFill>
                    <w14:schemeClr w14:val="tx1"/>
                  </w14:solidFill>
                </w14:textFill>
              </w:rPr>
              <w:t>）进行评价：</w:t>
            </w:r>
          </w:p>
          <w:p w14:paraId="57F9D15D">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10.外壳防护等级：依据GB/T 4208-2017标准，符合IP2X等级(提供符合“一单一库”能力项目库内标准编号GB/T 4208-2017《外壳防护等级(IP代码)》的具有CMA标识第三方检测机构出具的检测报告复印件进行佐证），满足的得1分，不满足的不得分。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28AA771E">
            <w:pPr>
              <w:tabs>
                <w:tab w:val="left" w:pos="720"/>
              </w:tabs>
              <w:spacing w:line="360" w:lineRule="auto"/>
              <w:ind w:right="18"/>
              <w:jc w:val="center"/>
              <w:rPr>
                <w:rFonts w:hint="eastAsia" w:ascii="宋体" w:hAnsi="宋体" w:cs="宋体"/>
                <w:bCs/>
                <w:color w:val="000000" w:themeColor="text1"/>
                <w:sz w:val="24"/>
                <w:szCs w:val="24"/>
                <w14:textFill>
                  <w14:solidFill>
                    <w14:schemeClr w14:val="tx1"/>
                  </w14:solidFill>
                </w14:textFill>
              </w:rPr>
            </w:pPr>
            <w:r>
              <w:rPr>
                <w:rFonts w:ascii="宋体" w:hAnsi="宋体" w:cs="宋体"/>
                <w:bCs/>
                <w:color w:val="000000" w:themeColor="text1"/>
                <w:sz w:val="24"/>
                <w:szCs w:val="24"/>
                <w14:textFill>
                  <w14:solidFill>
                    <w14:schemeClr w14:val="tx1"/>
                  </w14:solidFill>
                </w14:textFill>
              </w:rPr>
              <w:t>1</w:t>
            </w:r>
          </w:p>
        </w:tc>
      </w:tr>
    </w:tbl>
    <w:p w14:paraId="4A9A8AFF">
      <w:pPr>
        <w:tabs>
          <w:tab w:val="left" w:pos="-1080"/>
          <w:tab w:val="left" w:pos="180"/>
          <w:tab w:val="left" w:pos="1080"/>
        </w:tabs>
        <w:spacing w:line="360" w:lineRule="auto"/>
        <w:rPr>
          <w:rFonts w:hint="eastAsia" w:ascii="宋体" w:hAnsi="宋体" w:cs="宋体"/>
          <w:color w:val="000000" w:themeColor="text1"/>
          <w:sz w:val="24"/>
          <w:szCs w:val="24"/>
          <w14:textFill>
            <w14:solidFill>
              <w14:schemeClr w14:val="tx1"/>
            </w14:solidFill>
          </w14:textFill>
        </w:rPr>
      </w:pPr>
    </w:p>
    <w:p w14:paraId="1B9C77CB">
      <w:pPr>
        <w:tabs>
          <w:tab w:val="left" w:pos="-1080"/>
          <w:tab w:val="left" w:pos="180"/>
          <w:tab w:val="left" w:pos="108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（二）商务评分(F2)：按15分评分法，商务评分考虑下列因素：</w:t>
      </w:r>
    </w:p>
    <w:tbl>
      <w:tblPr>
        <w:tblStyle w:val="11"/>
        <w:tblW w:w="5000" w:type="pct"/>
        <w:tblInd w:w="0" w:type="dxa"/>
        <w:tblLayout w:type="autofit"/>
        <w:tblCellMar>
          <w:top w:w="0" w:type="dxa"/>
          <w:left w:w="108" w:type="dxa"/>
          <w:bottom w:w="0" w:type="dxa"/>
          <w:right w:w="108" w:type="dxa"/>
        </w:tblCellMar>
      </w:tblPr>
      <w:tblGrid>
        <w:gridCol w:w="881"/>
        <w:gridCol w:w="6841"/>
        <w:gridCol w:w="897"/>
      </w:tblGrid>
      <w:tr w14:paraId="09236C56">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4DDA5478">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序号</w:t>
            </w:r>
          </w:p>
        </w:tc>
        <w:tc>
          <w:tcPr>
            <w:tcW w:w="3967" w:type="pct"/>
            <w:tcBorders>
              <w:top w:val="single" w:color="auto" w:sz="4" w:space="0"/>
              <w:left w:val="single" w:color="auto" w:sz="4" w:space="0"/>
              <w:bottom w:val="single" w:color="auto" w:sz="4" w:space="0"/>
              <w:right w:val="single" w:color="auto" w:sz="4" w:space="0"/>
            </w:tcBorders>
            <w:vAlign w:val="center"/>
          </w:tcPr>
          <w:p w14:paraId="1628F71E">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细则内容</w:t>
            </w:r>
          </w:p>
        </w:tc>
        <w:tc>
          <w:tcPr>
            <w:tcW w:w="520" w:type="pct"/>
            <w:tcBorders>
              <w:top w:val="single" w:color="auto" w:sz="4" w:space="0"/>
              <w:left w:val="single" w:color="auto" w:sz="4" w:space="0"/>
              <w:bottom w:val="single" w:color="auto" w:sz="4" w:space="0"/>
              <w:right w:val="single" w:color="auto" w:sz="4" w:space="0"/>
            </w:tcBorders>
            <w:vAlign w:val="center"/>
          </w:tcPr>
          <w:p w14:paraId="6F25C075">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满分</w:t>
            </w:r>
          </w:p>
          <w:p w14:paraId="51008865">
            <w:pPr>
              <w:spacing w:line="360" w:lineRule="auto"/>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分值</w:t>
            </w:r>
          </w:p>
        </w:tc>
      </w:tr>
      <w:tr w14:paraId="6FB9F145">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332CC944">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2-1</w:t>
            </w:r>
          </w:p>
        </w:tc>
        <w:tc>
          <w:tcPr>
            <w:tcW w:w="3967" w:type="pct"/>
            <w:tcBorders>
              <w:top w:val="single" w:color="auto" w:sz="4" w:space="0"/>
              <w:left w:val="single" w:color="auto" w:sz="4" w:space="0"/>
              <w:bottom w:val="single" w:color="auto" w:sz="4" w:space="0"/>
              <w:right w:val="single" w:color="auto" w:sz="4" w:space="0"/>
            </w:tcBorders>
            <w:vAlign w:val="center"/>
          </w:tcPr>
          <w:p w14:paraId="6D961DB9">
            <w:pPr>
              <w:spacing w:line="360" w:lineRule="auto"/>
              <w:rPr>
                <w:rFonts w:hint="eastAsia" w:ascii="宋体" w:hAnsi="宋体" w:cs="宋体"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根据投标人所承诺的质保期进行评价：在满足招标文件质保期要求（贰年）的基础上，每延长六个月的得1分，满分2分。须提供</w:t>
            </w:r>
            <w:r>
              <w:rPr>
                <w:rFonts w:hint="eastAsia" w:ascii="宋体" w:hAnsi="宋体" w:cs="宋体"/>
                <w:color w:val="000000" w:themeColor="text1"/>
                <w:sz w:val="24"/>
                <w:szCs w:val="24"/>
                <w14:textFill>
                  <w14:solidFill>
                    <w14:schemeClr w14:val="tx1"/>
                  </w14:solidFill>
                </w14:textFill>
              </w:rPr>
              <w:t>书面承诺函（格式自拟）并加盖公章，否则不得分。</w:t>
            </w:r>
          </w:p>
        </w:tc>
        <w:tc>
          <w:tcPr>
            <w:tcW w:w="520" w:type="pct"/>
            <w:tcBorders>
              <w:top w:val="single" w:color="auto" w:sz="4" w:space="0"/>
              <w:left w:val="single" w:color="auto" w:sz="4" w:space="0"/>
              <w:bottom w:val="single" w:color="auto" w:sz="4" w:space="0"/>
              <w:right w:val="single" w:color="auto" w:sz="4" w:space="0"/>
            </w:tcBorders>
            <w:vAlign w:val="center"/>
          </w:tcPr>
          <w:p w14:paraId="00D46201">
            <w:pPr>
              <w:spacing w:line="360" w:lineRule="auto"/>
              <w:jc w:val="center"/>
              <w:rPr>
                <w:rFonts w:hint="eastAsia" w:ascii="宋体" w:hAnsi="宋体" w:cs="宋体"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w:t>
            </w:r>
          </w:p>
        </w:tc>
      </w:tr>
      <w:tr w14:paraId="5A304B0E">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37B26749">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2-2</w:t>
            </w:r>
          </w:p>
        </w:tc>
        <w:tc>
          <w:tcPr>
            <w:tcW w:w="3967" w:type="pct"/>
            <w:tcBorders>
              <w:top w:val="single" w:color="auto" w:sz="4" w:space="0"/>
              <w:left w:val="single" w:color="auto" w:sz="4" w:space="0"/>
              <w:bottom w:val="single" w:color="auto" w:sz="4" w:space="0"/>
              <w:right w:val="single" w:color="auto" w:sz="4" w:space="0"/>
            </w:tcBorders>
            <w:vAlign w:val="center"/>
          </w:tcPr>
          <w:p w14:paraId="71BE4F36">
            <w:pPr>
              <w:spacing w:line="360" w:lineRule="auto"/>
              <w:rPr>
                <w:rFonts w:hint="eastAsia" w:ascii="宋体" w:hAnsi="宋体" w:cs="宋体"/>
                <w:bCs/>
                <w:color w:val="000000" w:themeColor="text1"/>
                <w:sz w:val="24"/>
                <w:szCs w:val="24"/>
                <w14:textFill>
                  <w14:solidFill>
                    <w14:schemeClr w14:val="tx1"/>
                  </w14:solidFill>
                </w14:textFill>
              </w:rPr>
            </w:pPr>
            <w:bookmarkStart w:id="27" w:name="OLE_LINK23"/>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投标人提供有效期内的</w:t>
            </w:r>
            <w:bookmarkEnd w:id="27"/>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质量管理体系认证证书、环境管理体系认证证书、职业健康安全管理体系认证证书</w:t>
            </w:r>
            <w:r>
              <w:rPr>
                <w:rFonts w:hint="eastAsia" w:ascii="宋体" w:hAnsi="宋体" w:cs="宋体"/>
                <w:color w:val="000000" w:themeColor="text1"/>
                <w:sz w:val="24"/>
                <w:szCs w:val="24"/>
                <w14:textFill>
                  <w14:solidFill>
                    <w14:schemeClr w14:val="tx1"/>
                  </w14:solidFill>
                </w14:textFill>
              </w:rPr>
              <w:t>并书面承诺证书可在中国国家认证认可监督管理委员会网站（http://www.cnca.gov.cn/）查询到，</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每提供1项的得1分，满分3分，</w:t>
            </w:r>
            <w:r>
              <w:rPr>
                <w:rFonts w:hint="eastAsia" w:ascii="宋体" w:hAnsi="宋体" w:cs="宋体"/>
                <w:color w:val="000000" w:themeColor="text1"/>
                <w:sz w:val="24"/>
                <w:szCs w:val="24"/>
                <w14:textFill>
                  <w14:solidFill>
                    <w14:schemeClr w14:val="tx1"/>
                  </w14:solidFill>
                </w14:textFill>
              </w:rPr>
              <w:t>投标人须提供有效认证证书复印件及书面承诺函（格式自拟）并加盖公章，否则不得分。</w:t>
            </w:r>
          </w:p>
        </w:tc>
        <w:tc>
          <w:tcPr>
            <w:tcW w:w="520" w:type="pct"/>
            <w:tcBorders>
              <w:top w:val="single" w:color="auto" w:sz="4" w:space="0"/>
              <w:left w:val="single" w:color="auto" w:sz="4" w:space="0"/>
              <w:bottom w:val="single" w:color="auto" w:sz="4" w:space="0"/>
              <w:right w:val="single" w:color="auto" w:sz="4" w:space="0"/>
            </w:tcBorders>
            <w:vAlign w:val="center"/>
          </w:tcPr>
          <w:p w14:paraId="2DF67FAC">
            <w:pPr>
              <w:spacing w:line="360" w:lineRule="auto"/>
              <w:jc w:val="center"/>
              <w:rPr>
                <w:rFonts w:hint="eastAsia" w:ascii="宋体" w:hAnsi="宋体" w:cs="宋体"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w:t>
            </w:r>
          </w:p>
        </w:tc>
      </w:tr>
      <w:tr w14:paraId="3F949383">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561877F3">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2-3</w:t>
            </w:r>
          </w:p>
        </w:tc>
        <w:tc>
          <w:tcPr>
            <w:tcW w:w="3967" w:type="pct"/>
            <w:tcBorders>
              <w:top w:val="single" w:color="auto" w:sz="4" w:space="0"/>
              <w:left w:val="single" w:color="auto" w:sz="4" w:space="0"/>
              <w:bottom w:val="single" w:color="auto" w:sz="4" w:space="0"/>
              <w:right w:val="single" w:color="auto" w:sz="4" w:space="0"/>
            </w:tcBorders>
            <w:vAlign w:val="center"/>
          </w:tcPr>
          <w:p w14:paraId="676373B2">
            <w:pPr>
              <w:spacing w:line="360" w:lineRule="auto"/>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投标人提供有效期内的信息安全管理体系认证证书，</w:t>
            </w:r>
            <w:r>
              <w:rPr>
                <w:rFonts w:hint="eastAsia" w:ascii="宋体" w:hAnsi="宋体" w:cs="宋体"/>
                <w:color w:val="000000" w:themeColor="text1"/>
                <w:sz w:val="24"/>
                <w:szCs w:val="24"/>
                <w14:textFill>
                  <w14:solidFill>
                    <w14:schemeClr w14:val="tx1"/>
                  </w14:solidFill>
                </w14:textFill>
              </w:rPr>
              <w:t>并书面承诺证书可在中国国家认证认可监督管理委员会网站（http://www.cnca.gov.cn/）查询到</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的得1分，</w:t>
            </w:r>
            <w:r>
              <w:rPr>
                <w:rFonts w:hint="eastAsia" w:ascii="宋体" w:hAnsi="宋体" w:cs="宋体"/>
                <w:color w:val="000000" w:themeColor="text1"/>
                <w:sz w:val="24"/>
                <w:szCs w:val="24"/>
                <w14:textFill>
                  <w14:solidFill>
                    <w14:schemeClr w14:val="tx1"/>
                  </w14:solidFill>
                </w14:textFill>
              </w:rPr>
              <w:t>投标人须提供有效认证证书复印件及书面承诺函（格式自拟）并加盖公章，否则不得分。</w:t>
            </w:r>
          </w:p>
        </w:tc>
        <w:tc>
          <w:tcPr>
            <w:tcW w:w="520" w:type="pct"/>
            <w:tcBorders>
              <w:top w:val="single" w:color="auto" w:sz="4" w:space="0"/>
              <w:left w:val="single" w:color="auto" w:sz="4" w:space="0"/>
              <w:bottom w:val="single" w:color="auto" w:sz="4" w:space="0"/>
              <w:right w:val="single" w:color="auto" w:sz="4" w:space="0"/>
            </w:tcBorders>
            <w:vAlign w:val="center"/>
          </w:tcPr>
          <w:p w14:paraId="1B28B756">
            <w:pPr>
              <w:spacing w:line="360" w:lineRule="auto"/>
              <w:jc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r>
      <w:tr w14:paraId="637A2F24">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08C12B34">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2-4</w:t>
            </w:r>
          </w:p>
        </w:tc>
        <w:tc>
          <w:tcPr>
            <w:tcW w:w="3967" w:type="pct"/>
            <w:tcBorders>
              <w:top w:val="single" w:color="auto" w:sz="4" w:space="0"/>
              <w:left w:val="single" w:color="auto" w:sz="4" w:space="0"/>
              <w:bottom w:val="single" w:color="auto" w:sz="4" w:space="0"/>
              <w:right w:val="single" w:color="auto" w:sz="4" w:space="0"/>
            </w:tcBorders>
            <w:vAlign w:val="center"/>
          </w:tcPr>
          <w:p w14:paraId="71103C91">
            <w:pPr>
              <w:keepNext w:val="0"/>
              <w:keepLines w:val="0"/>
              <w:widowControl w:val="0"/>
              <w:suppressLineNumbers w:val="0"/>
              <w:tabs>
                <w:tab w:val="left" w:pos="720"/>
              </w:tabs>
              <w:spacing w:before="0" w:beforeAutospacing="0" w:after="0" w:afterAutospacing="0" w:line="360" w:lineRule="auto"/>
              <w:ind w:left="0" w:right="0"/>
              <w:jc w:val="both"/>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投标人拟投入本项目团队人员中的技术负责人（1人）：具有①二级建造师执业资格证书（机电工程）；②</w:t>
            </w:r>
            <w:r>
              <w:rPr>
                <w:rFonts w:hint="eastAsia" w:ascii="宋体" w:hAnsi="宋体" w:eastAsia="宋体" w:cs="宋体"/>
                <w:bCs/>
                <w:color w:val="000000"/>
                <w:kern w:val="2"/>
                <w:sz w:val="24"/>
                <w:szCs w:val="24"/>
                <w:lang w:val="en-US" w:eastAsia="zh-CN" w:bidi="ar"/>
              </w:rPr>
              <w:t>系统集成项目管理工程师证书</w:t>
            </w:r>
            <w:r>
              <w:rPr>
                <w:rFonts w:hint="eastAsia" w:ascii="宋体" w:hAnsi="宋体" w:cs="宋体"/>
                <w:bCs/>
                <w:color w:val="000000" w:themeColor="text1"/>
                <w:sz w:val="24"/>
                <w:szCs w:val="24"/>
                <w14:textFill>
                  <w14:solidFill>
                    <w14:schemeClr w14:val="tx1"/>
                  </w14:solidFill>
                </w14:textFill>
              </w:rPr>
              <w:t>；③</w:t>
            </w:r>
            <w:r>
              <w:rPr>
                <w:rFonts w:hint="eastAsia" w:ascii="宋体" w:hAnsi="宋体" w:eastAsia="宋体" w:cs="宋体"/>
                <w:bCs/>
                <w:color w:val="000000"/>
                <w:kern w:val="2"/>
                <w:sz w:val="24"/>
                <w:szCs w:val="24"/>
                <w:lang w:val="en-US" w:eastAsia="zh-CN" w:bidi="ar"/>
              </w:rPr>
              <w:t>智能建筑弱电工程师证书</w:t>
            </w:r>
            <w:r>
              <w:rPr>
                <w:rFonts w:hint="eastAsia" w:ascii="宋体" w:hAnsi="宋体" w:cs="宋体"/>
                <w:bCs/>
                <w:color w:val="000000" w:themeColor="text1"/>
                <w:sz w:val="24"/>
                <w:szCs w:val="24"/>
                <w14:textFill>
                  <w14:solidFill>
                    <w14:schemeClr w14:val="tx1"/>
                  </w14:solidFill>
                </w14:textFill>
              </w:rPr>
              <w:t>；每提供一项可得0.5分，满分1.5分。</w:t>
            </w:r>
          </w:p>
          <w:p w14:paraId="2FF7C72A">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注：①须提供相关证书复印件及投标截止时间前六个月中任意一个月（不含开标当月）投标人为其缴纳的社会养老保险证明复印件【若投标人为投标截止时间当月成立的，可提供依法缴纳社会保障资金承诺书（格式自拟）】，否则不得分。</w:t>
            </w:r>
          </w:p>
        </w:tc>
        <w:tc>
          <w:tcPr>
            <w:tcW w:w="520" w:type="pct"/>
            <w:tcBorders>
              <w:top w:val="single" w:color="auto" w:sz="4" w:space="0"/>
              <w:left w:val="single" w:color="auto" w:sz="4" w:space="0"/>
              <w:bottom w:val="single" w:color="auto" w:sz="4" w:space="0"/>
              <w:right w:val="single" w:color="auto" w:sz="4" w:space="0"/>
            </w:tcBorders>
            <w:vAlign w:val="center"/>
          </w:tcPr>
          <w:p w14:paraId="0A8B21A5">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1.5</w:t>
            </w:r>
          </w:p>
        </w:tc>
      </w:tr>
      <w:tr w14:paraId="4F940335">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25BCFC3F">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2-5</w:t>
            </w:r>
          </w:p>
        </w:tc>
        <w:tc>
          <w:tcPr>
            <w:tcW w:w="3967" w:type="pct"/>
            <w:tcBorders>
              <w:top w:val="single" w:color="auto" w:sz="4" w:space="0"/>
              <w:left w:val="single" w:color="auto" w:sz="4" w:space="0"/>
              <w:bottom w:val="single" w:color="auto" w:sz="4" w:space="0"/>
              <w:right w:val="single" w:color="auto" w:sz="4" w:space="0"/>
            </w:tcBorders>
            <w:vAlign w:val="center"/>
          </w:tcPr>
          <w:p w14:paraId="5F82E91F">
            <w:pPr>
              <w:tabs>
                <w:tab w:val="left" w:pos="-1080"/>
                <w:tab w:val="left" w:pos="180"/>
                <w:tab w:val="left" w:pos="1080"/>
              </w:tabs>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可提供厦门本地化服务，得1.5分，否则不得分。投标人可提供合作单位协议或者自身机构的营业执照证明，也可以提供在本地设立的项目部、办公室、办事处等机构证明，或者提供承诺函（格式自拟）承诺中标后提供本地化服务。</w:t>
            </w:r>
          </w:p>
        </w:tc>
        <w:tc>
          <w:tcPr>
            <w:tcW w:w="520" w:type="pct"/>
            <w:tcBorders>
              <w:top w:val="single" w:color="auto" w:sz="4" w:space="0"/>
              <w:left w:val="single" w:color="auto" w:sz="4" w:space="0"/>
              <w:bottom w:val="single" w:color="auto" w:sz="4" w:space="0"/>
              <w:right w:val="single" w:color="auto" w:sz="4" w:space="0"/>
            </w:tcBorders>
            <w:vAlign w:val="center"/>
          </w:tcPr>
          <w:p w14:paraId="5B5C8C62">
            <w:pPr>
              <w:tabs>
                <w:tab w:val="left" w:pos="-1080"/>
                <w:tab w:val="left" w:pos="180"/>
                <w:tab w:val="left" w:pos="1080"/>
              </w:tabs>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1.5</w:t>
            </w:r>
          </w:p>
        </w:tc>
      </w:tr>
      <w:tr w14:paraId="19FBFFFC">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67C21433">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2-6</w:t>
            </w:r>
          </w:p>
        </w:tc>
        <w:tc>
          <w:tcPr>
            <w:tcW w:w="3967" w:type="pct"/>
            <w:tcBorders>
              <w:top w:val="single" w:color="auto" w:sz="4" w:space="0"/>
              <w:left w:val="single" w:color="auto" w:sz="4" w:space="0"/>
              <w:bottom w:val="single" w:color="auto" w:sz="4" w:space="0"/>
              <w:right w:val="single" w:color="auto" w:sz="4" w:space="0"/>
            </w:tcBorders>
          </w:tcPr>
          <w:p w14:paraId="122B2244">
            <w:pPr>
              <w:tabs>
                <w:tab w:val="left" w:pos="720"/>
              </w:tabs>
              <w:spacing w:line="360" w:lineRule="auto"/>
              <w:ind w:right="18"/>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根据投标人提供的自2023年1月1日至开标当日（以合同签订时间为准）的同类业绩（投标人承接的LED屏采购及安装的项目业绩）进行评价：每提供1个有效业绩的得0.5分，满分2分。</w:t>
            </w:r>
          </w:p>
          <w:p w14:paraId="2E2CA2F5">
            <w:pPr>
              <w:tabs>
                <w:tab w:val="left" w:pos="720"/>
              </w:tabs>
              <w:spacing w:line="360" w:lineRule="auto"/>
              <w:ind w:right="18"/>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注：投标人须在投标文件中提供该业绩项目以下资料扫描件：①采购合同文本；②中标成交公告（提供相关网站中标或成交公告的下载网页及其网址）；③中标（成交）通知书；④能够证明该业绩项目已经采购人验收合格的相关证明文件。如未按以上要求提供该项业绩完整资料的，评标委员会对该项业绩将不予采信。</w:t>
            </w:r>
          </w:p>
        </w:tc>
        <w:tc>
          <w:tcPr>
            <w:tcW w:w="520" w:type="pct"/>
            <w:tcBorders>
              <w:top w:val="single" w:color="auto" w:sz="4" w:space="0"/>
              <w:left w:val="single" w:color="auto" w:sz="4" w:space="0"/>
              <w:bottom w:val="single" w:color="auto" w:sz="4" w:space="0"/>
              <w:right w:val="single" w:color="auto" w:sz="4" w:space="0"/>
            </w:tcBorders>
            <w:vAlign w:val="center"/>
          </w:tcPr>
          <w:p w14:paraId="49542EC5">
            <w:pPr>
              <w:tabs>
                <w:tab w:val="left" w:pos="720"/>
              </w:tabs>
              <w:spacing w:line="360" w:lineRule="auto"/>
              <w:ind w:right="18"/>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635E0CF1">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2D42CC70">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2-7</w:t>
            </w:r>
          </w:p>
        </w:tc>
        <w:tc>
          <w:tcPr>
            <w:tcW w:w="3967" w:type="pct"/>
            <w:tcBorders>
              <w:top w:val="single" w:color="auto" w:sz="4" w:space="0"/>
              <w:left w:val="single" w:color="auto" w:sz="4" w:space="0"/>
              <w:bottom w:val="single" w:color="auto" w:sz="4" w:space="0"/>
              <w:right w:val="single" w:color="auto" w:sz="4" w:space="0"/>
            </w:tcBorders>
          </w:tcPr>
          <w:p w14:paraId="4FAD76F5">
            <w:pPr>
              <w:tabs>
                <w:tab w:val="left" w:pos="720"/>
              </w:tabs>
              <w:spacing w:line="360" w:lineRule="auto"/>
              <w:ind w:right="18"/>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承诺中标后，在质保期内设备一旦出现故障须在2小时内响应，在4小时内到设备现场进行故障排除，若24小时内无法排除故障的，须提供替代设备供采购人使用。在质量保证期内，至少安排两名售后服务人员与采购人建立服务联系的得2分。</w:t>
            </w:r>
            <w:r>
              <w:rPr>
                <w:rFonts w:hint="eastAsia" w:ascii="宋体" w:hAnsi="宋体" w:cs="宋体"/>
                <w:bCs/>
                <w:color w:val="000000" w:themeColor="text1"/>
                <w:sz w:val="24"/>
                <w:szCs w:val="24"/>
                <w14:textFill>
                  <w14:solidFill>
                    <w14:schemeClr w14:val="tx1"/>
                  </w14:solidFill>
                </w14:textFill>
              </w:rPr>
              <w:cr/>
            </w:r>
            <w:r>
              <w:rPr>
                <w:rFonts w:hint="eastAsia" w:ascii="宋体" w:hAnsi="宋体" w:cs="宋体"/>
                <w:bCs/>
                <w:color w:val="000000" w:themeColor="text1"/>
                <w:sz w:val="24"/>
                <w:szCs w:val="24"/>
                <w14:textFill>
                  <w14:solidFill>
                    <w14:schemeClr w14:val="tx1"/>
                  </w14:solidFill>
                </w14:textFill>
              </w:rPr>
              <w:t>注：投标人须提供书面承诺函（格式自拟）并加盖公章，未提供或不符合上述要求的不得分。</w:t>
            </w:r>
          </w:p>
        </w:tc>
        <w:tc>
          <w:tcPr>
            <w:tcW w:w="520" w:type="pct"/>
            <w:tcBorders>
              <w:top w:val="single" w:color="auto" w:sz="4" w:space="0"/>
              <w:left w:val="single" w:color="auto" w:sz="4" w:space="0"/>
              <w:bottom w:val="single" w:color="auto" w:sz="4" w:space="0"/>
              <w:right w:val="single" w:color="auto" w:sz="4" w:space="0"/>
            </w:tcBorders>
            <w:vAlign w:val="center"/>
          </w:tcPr>
          <w:p w14:paraId="356AC18C">
            <w:pPr>
              <w:tabs>
                <w:tab w:val="left" w:pos="720"/>
              </w:tabs>
              <w:spacing w:line="360" w:lineRule="auto"/>
              <w:ind w:right="18"/>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w:t>
            </w:r>
          </w:p>
        </w:tc>
      </w:tr>
      <w:tr w14:paraId="7C271933">
        <w:tblPrEx>
          <w:tblCellMar>
            <w:top w:w="0" w:type="dxa"/>
            <w:left w:w="108" w:type="dxa"/>
            <w:bottom w:w="0" w:type="dxa"/>
            <w:right w:w="108" w:type="dxa"/>
          </w:tblCellMar>
        </w:tblPrEx>
        <w:tc>
          <w:tcPr>
            <w:tcW w:w="511" w:type="pct"/>
            <w:tcBorders>
              <w:top w:val="single" w:color="auto" w:sz="4" w:space="0"/>
              <w:left w:val="single" w:color="auto" w:sz="4" w:space="0"/>
              <w:bottom w:val="single" w:color="auto" w:sz="4" w:space="0"/>
              <w:right w:val="single" w:color="auto" w:sz="4" w:space="0"/>
            </w:tcBorders>
            <w:vAlign w:val="center"/>
          </w:tcPr>
          <w:p w14:paraId="6AF0A132">
            <w:pPr>
              <w:spacing w:line="360" w:lineRule="auto"/>
              <w:jc w:val="center"/>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2-8</w:t>
            </w:r>
          </w:p>
        </w:tc>
        <w:tc>
          <w:tcPr>
            <w:tcW w:w="3967" w:type="pct"/>
            <w:tcBorders>
              <w:top w:val="single" w:color="auto" w:sz="4" w:space="0"/>
              <w:left w:val="single" w:color="auto" w:sz="4" w:space="0"/>
              <w:bottom w:val="single" w:color="auto" w:sz="4" w:space="0"/>
              <w:right w:val="single" w:color="auto" w:sz="4" w:space="0"/>
            </w:tcBorders>
          </w:tcPr>
          <w:p w14:paraId="356FEC53">
            <w:pPr>
              <w:tabs>
                <w:tab w:val="left" w:pos="720"/>
              </w:tabs>
              <w:spacing w:line="360" w:lineRule="auto"/>
              <w:ind w:right="18"/>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投标人提供有效期内的商品售后服务认证五星级</w:t>
            </w:r>
            <w:r>
              <w:rPr>
                <w:rStyle w:val="16"/>
                <w:rFonts w:hint="eastAsia"/>
                <w:color w:val="000000" w:themeColor="text1"/>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并书面承诺证书可在中国国家认证认可监督管理委员会网站（http://www.cnca.gov.cn/）查询到</w:t>
            </w:r>
            <w:r>
              <w:rPr>
                <w:rFonts w:hint="eastAsia" w:ascii="宋体" w:hAnsi="宋体" w:cs="宋体"/>
                <w:bCs/>
                <w:color w:val="000000" w:themeColor="text1"/>
                <w:sz w:val="24"/>
                <w:szCs w:val="24"/>
                <w14:textFill>
                  <w14:solidFill>
                    <w14:schemeClr w14:val="tx1"/>
                  </w14:solidFill>
                </w14:textFill>
              </w:rPr>
              <w:t>的得</w:t>
            </w:r>
            <w:r>
              <w:rPr>
                <w:rFonts w:hint="default" w:ascii="宋体" w:hAnsi="宋体" w:cs="宋体"/>
                <w:bCs/>
                <w:color w:val="000000" w:themeColor="text1"/>
                <w:sz w:val="24"/>
                <w:szCs w:val="24"/>
                <w14:textFill>
                  <w14:solidFill>
                    <w14:schemeClr w14:val="tx1"/>
                  </w14:solidFill>
                </w14:textFill>
              </w:rPr>
              <w:t>2</w:t>
            </w:r>
            <w:r>
              <w:rPr>
                <w:rFonts w:hint="eastAsia" w:ascii="宋体" w:hAnsi="宋体" w:cs="宋体"/>
                <w:bCs/>
                <w:color w:val="000000" w:themeColor="text1"/>
                <w:sz w:val="24"/>
                <w:szCs w:val="24"/>
                <w14:textFill>
                  <w14:solidFill>
                    <w14:schemeClr w14:val="tx1"/>
                  </w14:solidFill>
                </w14:textFill>
              </w:rPr>
              <w:t>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投标人须提供有效认证证书复印件及书面承诺函（格式自拟）并加盖公章，否则不得分。</w:t>
            </w:r>
          </w:p>
        </w:tc>
        <w:tc>
          <w:tcPr>
            <w:tcW w:w="520" w:type="pct"/>
            <w:tcBorders>
              <w:top w:val="single" w:color="auto" w:sz="4" w:space="0"/>
              <w:left w:val="single" w:color="auto" w:sz="4" w:space="0"/>
              <w:bottom w:val="single" w:color="auto" w:sz="4" w:space="0"/>
              <w:right w:val="single" w:color="auto" w:sz="4" w:space="0"/>
            </w:tcBorders>
            <w:vAlign w:val="center"/>
          </w:tcPr>
          <w:p w14:paraId="36467165">
            <w:pPr>
              <w:tabs>
                <w:tab w:val="left" w:pos="720"/>
              </w:tabs>
              <w:spacing w:line="360" w:lineRule="auto"/>
              <w:ind w:right="18"/>
              <w:jc w:val="center"/>
              <w:rPr>
                <w:rFonts w:hint="eastAsia" w:ascii="宋体" w:hAnsi="宋体" w:cs="宋体"/>
                <w:bCs/>
                <w:color w:val="000000" w:themeColor="text1"/>
                <w:sz w:val="24"/>
                <w:szCs w:val="24"/>
                <w14:textFill>
                  <w14:solidFill>
                    <w14:schemeClr w14:val="tx1"/>
                  </w14:solidFill>
                </w14:textFill>
              </w:rPr>
            </w:pPr>
            <w:r>
              <w:rPr>
                <w:rFonts w:hint="default" w:ascii="宋体" w:hAnsi="宋体" w:cs="宋体"/>
                <w:bCs/>
                <w:color w:val="000000" w:themeColor="text1"/>
                <w:sz w:val="24"/>
                <w:szCs w:val="24"/>
                <w14:textFill>
                  <w14:solidFill>
                    <w14:schemeClr w14:val="tx1"/>
                  </w14:solidFill>
                </w14:textFill>
              </w:rPr>
              <w:t>2</w:t>
            </w:r>
          </w:p>
        </w:tc>
      </w:tr>
    </w:tbl>
    <w:p w14:paraId="7A80EE70">
      <w:pPr>
        <w:tabs>
          <w:tab w:val="left" w:pos="-1080"/>
          <w:tab w:val="left" w:pos="180"/>
          <w:tab w:val="left" w:pos="1080"/>
        </w:tabs>
        <w:spacing w:line="360" w:lineRule="auto"/>
        <w:rPr>
          <w:rFonts w:hint="eastAsia" w:ascii="宋体" w:hAnsi="宋体" w:cs="宋体"/>
          <w:color w:val="000000" w:themeColor="text1"/>
          <w:sz w:val="24"/>
          <w:szCs w:val="24"/>
          <w14:textFill>
            <w14:solidFill>
              <w14:schemeClr w14:val="tx1"/>
            </w14:solidFill>
          </w14:textFill>
        </w:rPr>
      </w:pPr>
    </w:p>
    <w:p w14:paraId="22D313CE">
      <w:pPr>
        <w:tabs>
          <w:tab w:val="left" w:pos="-1080"/>
          <w:tab w:val="left" w:pos="180"/>
          <w:tab w:val="left" w:pos="108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（三）价格评分(F3)：按35分评分法，评标委员会对各有效标投标报价进行审核确定评标价，并将最低有效标的评标价设为基准价，定其价格得分为35分。按公式：价格得分＝35</w:t>
      </w:r>
      <w:r>
        <w:rPr>
          <w:rFonts w:hint="eastAsia" w:ascii="宋体" w:hAnsi="宋体" w:cs="宋体"/>
          <w:color w:val="000000" w:themeColor="text1"/>
          <w:sz w:val="24"/>
          <w:szCs w:val="24"/>
          <w14:textFill>
            <w14:solidFill>
              <w14:schemeClr w14:val="tx1"/>
            </w14:solidFill>
          </w14:textFill>
        </w:rPr>
        <w:sym w:font="Symbol" w:char="00B4"/>
      </w:r>
      <w:r>
        <w:rPr>
          <w:rFonts w:hint="eastAsia" w:ascii="宋体" w:hAnsi="宋体" w:cs="宋体"/>
          <w:color w:val="000000" w:themeColor="text1"/>
          <w:sz w:val="24"/>
          <w:szCs w:val="24"/>
          <w14:textFill>
            <w14:solidFill>
              <w14:schemeClr w14:val="tx1"/>
            </w14:solidFill>
          </w14:textFill>
        </w:rPr>
        <w:t>（基准价/各个通过审核的有效投标人的评标价）计算，由此算出各个通过审核的有效投标人的价格得分。</w:t>
      </w:r>
    </w:p>
    <w:p w14:paraId="56E09B52">
      <w:pPr>
        <w:spacing w:line="360" w:lineRule="auto"/>
        <w:ind w:firstLine="480"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1、“小型和微型企业产品”的评分政策：投标人提供的货物既有中型企业制造，也有小微企业制造的，不享受办法规定的小微企业扶持政策。</w:t>
      </w:r>
    </w:p>
    <w:p w14:paraId="3DE2FE71">
      <w:pPr>
        <w:pStyle w:val="5"/>
        <w:spacing w:line="360" w:lineRule="auto"/>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对其提供的小型或微型企业产品的投标报价给予20%的扣除，扣除后的价格作为该投标人的评标价参与价格评分。</w:t>
      </w:r>
    </w:p>
    <w:p w14:paraId="552463A4">
      <w:pPr>
        <w:pStyle w:val="5"/>
        <w:spacing w:line="360" w:lineRule="auto"/>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79058C81">
      <w:pPr>
        <w:pStyle w:val="10"/>
        <w:numPr>
          <w:ilvl w:val="255"/>
          <w:numId w:val="0"/>
        </w:num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7F1FE30E">
      <w:pPr>
        <w:numPr>
          <w:ilvl w:val="255"/>
          <w:numId w:val="0"/>
        </w:numPr>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2、节能、环境标志产品价格扣除：</w:t>
      </w:r>
    </w:p>
    <w:p w14:paraId="394EE4C8">
      <w:pPr>
        <w:numPr>
          <w:ilvl w:val="255"/>
          <w:numId w:val="0"/>
        </w:numPr>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3587AD18">
      <w:pPr>
        <w:numPr>
          <w:ilvl w:val="255"/>
          <w:numId w:val="0"/>
        </w:numPr>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具体要求如下：</w:t>
      </w:r>
    </w:p>
    <w:p w14:paraId="2D478A21">
      <w:pPr>
        <w:numPr>
          <w:ilvl w:val="255"/>
          <w:numId w:val="0"/>
        </w:numPr>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69CE0C12">
      <w:pPr>
        <w:numPr>
          <w:ilvl w:val="255"/>
          <w:numId w:val="0"/>
        </w:numPr>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投标人应分别明确节能或环境标志产品的名称、数量、分项报价、总报价，并提供认证证书扫描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1F314A19">
      <w:pPr>
        <w:widowControl/>
        <w:tabs>
          <w:tab w:val="left" w:pos="-1080"/>
          <w:tab w:val="left" w:pos="180"/>
          <w:tab w:val="left" w:pos="108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7F2BF395">
      <w:pPr>
        <w:pStyle w:val="9"/>
        <w:spacing w:before="0" w:beforeAutospacing="0" w:after="0" w:afterAutospacing="0" w:line="360" w:lineRule="auto"/>
        <w:ind w:firstLine="420"/>
        <w:rPr>
          <w:rFonts w:hint="eastAsia"/>
          <w:color w:val="000000" w:themeColor="text1"/>
          <w:kern w:val="2"/>
          <w14:textFill>
            <w14:solidFill>
              <w14:schemeClr w14:val="tx1"/>
            </w14:solidFill>
          </w14:textFill>
        </w:rPr>
      </w:pPr>
      <w:r>
        <w:rPr>
          <w:rFonts w:hint="eastAsia"/>
          <w:color w:val="000000" w:themeColor="text1"/>
          <w:kern w:val="2"/>
          <w14:textFill>
            <w14:solidFill>
              <w14:schemeClr w14:val="tx1"/>
            </w14:solidFill>
          </w14:textFill>
        </w:rPr>
        <w:t>3、对本国产品的支持政策：</w:t>
      </w:r>
    </w:p>
    <w:p w14:paraId="3FAC889B">
      <w:pPr>
        <w:pStyle w:val="18"/>
        <w:spacing w:line="360" w:lineRule="auto"/>
        <w:ind w:left="21" w:firstLine="475" w:firstLineChars="203"/>
        <w:rPr>
          <w:rFonts w:hint="eastAsia"/>
          <w:color w:val="000000" w:themeColor="text1"/>
          <w:spacing w:val="1"/>
          <w:sz w:val="24"/>
          <w:szCs w:val="24"/>
          <w:lang w:eastAsia="zh-CN"/>
          <w14:textFill>
            <w14:solidFill>
              <w14:schemeClr w14:val="tx1"/>
            </w14:solidFill>
          </w14:textFill>
        </w:rPr>
      </w:pPr>
      <w:r>
        <w:rPr>
          <w:rFonts w:hint="eastAsia"/>
          <w:color w:val="000000" w:themeColor="text1"/>
          <w:spacing w:val="-3"/>
          <w:sz w:val="24"/>
          <w:szCs w:val="24"/>
          <w:lang w:eastAsia="zh-CN"/>
          <w14:textFill>
            <w14:solidFill>
              <w14:schemeClr w14:val="tx1"/>
            </w14:solidFill>
          </w14:textFill>
        </w:rPr>
        <w:t>（1）本项目适用《国务院办公厅关于在政府采购中实施本国产品</w:t>
      </w:r>
      <w:r>
        <w:rPr>
          <w:rFonts w:hint="eastAsia"/>
          <w:color w:val="000000" w:themeColor="text1"/>
          <w:spacing w:val="-22"/>
          <w:sz w:val="24"/>
          <w:szCs w:val="24"/>
          <w:lang w:eastAsia="zh-CN"/>
          <w14:textFill>
            <w14:solidFill>
              <w14:schemeClr w14:val="tx1"/>
            </w14:solidFill>
          </w14:textFill>
        </w:rPr>
        <w:t>标准及相关政策的通知》（国办发〔2025〕34</w:t>
      </w:r>
      <w:r>
        <w:rPr>
          <w:rFonts w:hint="eastAsia"/>
          <w:color w:val="000000" w:themeColor="text1"/>
          <w:spacing w:val="-44"/>
          <w:sz w:val="24"/>
          <w:szCs w:val="24"/>
          <w:lang w:eastAsia="zh-CN"/>
          <w14:textFill>
            <w14:solidFill>
              <w14:schemeClr w14:val="tx1"/>
            </w14:solidFill>
          </w14:textFill>
        </w:rPr>
        <w:t xml:space="preserve"> </w:t>
      </w:r>
      <w:r>
        <w:rPr>
          <w:rFonts w:hint="eastAsia"/>
          <w:color w:val="000000" w:themeColor="text1"/>
          <w:spacing w:val="-22"/>
          <w:sz w:val="24"/>
          <w:szCs w:val="24"/>
          <w:lang w:eastAsia="zh-CN"/>
          <w14:textFill>
            <w14:solidFill>
              <w14:schemeClr w14:val="tx1"/>
            </w14:solidFill>
          </w14:textFill>
        </w:rPr>
        <w:t>号，以下简称《通知》）</w:t>
      </w:r>
      <w:r>
        <w:rPr>
          <w:rFonts w:hint="eastAsia"/>
          <w:color w:val="000000" w:themeColor="text1"/>
          <w:spacing w:val="-7"/>
          <w:sz w:val="24"/>
          <w:szCs w:val="24"/>
          <w:lang w:eastAsia="zh-CN"/>
          <w14:textFill>
            <w14:solidFill>
              <w14:schemeClr w14:val="tx1"/>
            </w14:solidFill>
          </w14:textFill>
        </w:rPr>
        <w:t>规定的本国产品标准及相关政策，</w:t>
      </w:r>
      <w:r>
        <w:rPr>
          <w:rFonts w:hint="eastAsia"/>
          <w:color w:val="000000" w:themeColor="text1"/>
          <w:spacing w:val="1"/>
          <w:sz w:val="24"/>
          <w:szCs w:val="24"/>
          <w:lang w:eastAsia="zh-CN"/>
          <w14:textFill>
            <w14:solidFill>
              <w14:schemeClr w14:val="tx1"/>
            </w14:solidFill>
          </w14:textFill>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265CD272">
      <w:pPr>
        <w:pStyle w:val="18"/>
        <w:spacing w:line="360" w:lineRule="auto"/>
        <w:ind w:left="22" w:right="17" w:firstLine="491" w:firstLineChars="203"/>
        <w:rPr>
          <w:rFonts w:hint="eastAsia"/>
          <w:color w:val="000000" w:themeColor="text1"/>
          <w:sz w:val="24"/>
          <w:szCs w:val="24"/>
          <w:lang w:eastAsia="zh-CN"/>
          <w14:textFill>
            <w14:solidFill>
              <w14:schemeClr w14:val="tx1"/>
            </w14:solidFill>
          </w14:textFill>
        </w:rPr>
      </w:pPr>
      <w:r>
        <w:rPr>
          <w:rFonts w:hint="eastAsia"/>
          <w:color w:val="000000" w:themeColor="text1"/>
          <w:spacing w:val="1"/>
          <w:sz w:val="24"/>
          <w:szCs w:val="24"/>
          <w:lang w:eastAsia="zh-CN"/>
          <w14:textFill>
            <w14:solidFill>
              <w14:schemeClr w14:val="tx1"/>
            </w14:solidFill>
          </w14:textFill>
        </w:rPr>
        <w:t>（2）本项目中，国有企业、民营企业、外资</w:t>
      </w:r>
      <w:r>
        <w:rPr>
          <w:rFonts w:hint="eastAsia"/>
          <w:color w:val="000000" w:themeColor="text1"/>
          <w:sz w:val="24"/>
          <w:szCs w:val="24"/>
          <w:lang w:eastAsia="zh-CN"/>
          <w14:textFill>
            <w14:solidFill>
              <w14:schemeClr w14:val="tx1"/>
            </w14:solidFill>
          </w14:textFill>
        </w:rPr>
        <w:t>企业等各类经营主体</w:t>
      </w:r>
      <w:r>
        <w:rPr>
          <w:rFonts w:hint="eastAsia"/>
          <w:color w:val="000000" w:themeColor="text1"/>
          <w:spacing w:val="-4"/>
          <w:sz w:val="24"/>
          <w:szCs w:val="24"/>
          <w:lang w:eastAsia="zh-CN"/>
          <w14:textFill>
            <w14:solidFill>
              <w14:schemeClr w14:val="tx1"/>
            </w14:solidFill>
          </w14:textFill>
        </w:rPr>
        <w:t>平等享受本国产品政府采购支持政策，采购人及采购代理机构对各类经营主体一视同仁、平等对待，无差别待遇或歧视待遇，不指定</w:t>
      </w:r>
      <w:r>
        <w:rPr>
          <w:rFonts w:hint="eastAsia"/>
          <w:color w:val="000000" w:themeColor="text1"/>
          <w:spacing w:val="-1"/>
          <w:sz w:val="24"/>
          <w:szCs w:val="24"/>
          <w:lang w:eastAsia="zh-CN"/>
          <w14:textFill>
            <w14:solidFill>
              <w14:schemeClr w14:val="tx1"/>
            </w14:solidFill>
          </w14:textFill>
        </w:rPr>
        <w:t>品牌、不限制品牌注册地及所有者。</w:t>
      </w:r>
    </w:p>
    <w:p w14:paraId="496D913C">
      <w:pPr>
        <w:pStyle w:val="18"/>
        <w:spacing w:line="360" w:lineRule="auto"/>
        <w:ind w:left="24" w:right="15" w:firstLine="488" w:firstLineChars="202"/>
        <w:rPr>
          <w:rFonts w:hint="eastAsia"/>
          <w:color w:val="000000" w:themeColor="text1"/>
          <w:spacing w:val="-5"/>
          <w:sz w:val="24"/>
          <w:szCs w:val="24"/>
          <w:lang w:eastAsia="zh-CN"/>
          <w14:textFill>
            <w14:solidFill>
              <w14:schemeClr w14:val="tx1"/>
            </w14:solidFill>
          </w14:textFill>
        </w:rPr>
      </w:pPr>
      <w:r>
        <w:rPr>
          <w:rFonts w:hint="eastAsia"/>
          <w:color w:val="000000" w:themeColor="text1"/>
          <w:spacing w:val="1"/>
          <w:sz w:val="24"/>
          <w:szCs w:val="24"/>
          <w:lang w:eastAsia="zh-CN"/>
          <w14:textFill>
            <w14:solidFill>
              <w14:schemeClr w14:val="tx1"/>
            </w14:solidFill>
          </w14:textFill>
        </w:rPr>
        <w:t>（3）本项目所称本国产品，是指符合《通知</w:t>
      </w:r>
      <w:r>
        <w:rPr>
          <w:rFonts w:hint="eastAsia"/>
          <w:color w:val="000000" w:themeColor="text1"/>
          <w:sz w:val="24"/>
          <w:szCs w:val="24"/>
          <w:lang w:eastAsia="zh-CN"/>
          <w14:textFill>
            <w14:solidFill>
              <w14:schemeClr w14:val="tx1"/>
            </w14:solidFill>
          </w14:textFill>
        </w:rPr>
        <w:t>》第一条规定条件的</w:t>
      </w:r>
      <w:r>
        <w:rPr>
          <w:rFonts w:hint="eastAsia"/>
          <w:color w:val="000000" w:themeColor="text1"/>
          <w:spacing w:val="-4"/>
          <w:sz w:val="24"/>
          <w:szCs w:val="24"/>
          <w:lang w:eastAsia="zh-CN"/>
          <w14:textFill>
            <w14:solidFill>
              <w14:schemeClr w14:val="tx1"/>
            </w14:solidFill>
          </w14:textFill>
        </w:rPr>
        <w:t>产品：①在中国境内生产，即于中华人民共和国关境内经制造、加工、组装等工序实现属性改变，形成有新名称、新特征（用途）的</w:t>
      </w:r>
      <w:r>
        <w:rPr>
          <w:rFonts w:hint="eastAsia"/>
          <w:color w:val="000000" w:themeColor="text1"/>
          <w:spacing w:val="-5"/>
          <w:sz w:val="24"/>
          <w:szCs w:val="24"/>
          <w:lang w:eastAsia="zh-CN"/>
          <w14:textFill>
            <w14:solidFill>
              <w14:schemeClr w14:val="tx1"/>
            </w14:solidFill>
          </w14:textFill>
        </w:rPr>
        <w:t>新产品，《通知》列明的</w:t>
      </w:r>
      <w:r>
        <w:rPr>
          <w:rFonts w:hint="eastAsia"/>
          <w:color w:val="000000" w:themeColor="text1"/>
          <w:spacing w:val="-46"/>
          <w:sz w:val="24"/>
          <w:szCs w:val="24"/>
          <w:lang w:eastAsia="zh-CN"/>
          <w14:textFill>
            <w14:solidFill>
              <w14:schemeClr w14:val="tx1"/>
            </w14:solidFill>
          </w14:textFill>
        </w:rPr>
        <w:t xml:space="preserve"> </w:t>
      </w:r>
      <w:r>
        <w:rPr>
          <w:rFonts w:hint="eastAsia"/>
          <w:color w:val="000000" w:themeColor="text1"/>
          <w:spacing w:val="-5"/>
          <w:sz w:val="24"/>
          <w:szCs w:val="24"/>
          <w:lang w:eastAsia="zh-CN"/>
          <w14:textFill>
            <w14:solidFill>
              <w14:schemeClr w14:val="tx1"/>
            </w14:solidFill>
          </w14:textFill>
        </w:rPr>
        <w:t>5</w:t>
      </w:r>
      <w:r>
        <w:rPr>
          <w:rFonts w:hint="eastAsia"/>
          <w:color w:val="000000" w:themeColor="text1"/>
          <w:spacing w:val="-58"/>
          <w:sz w:val="24"/>
          <w:szCs w:val="24"/>
          <w:lang w:eastAsia="zh-CN"/>
          <w14:textFill>
            <w14:solidFill>
              <w14:schemeClr w14:val="tx1"/>
            </w14:solidFill>
          </w14:textFill>
        </w:rPr>
        <w:t xml:space="preserve"> </w:t>
      </w:r>
      <w:r>
        <w:rPr>
          <w:rFonts w:hint="eastAsia"/>
          <w:color w:val="000000" w:themeColor="text1"/>
          <w:spacing w:val="-5"/>
          <w:sz w:val="24"/>
          <w:szCs w:val="24"/>
          <w:lang w:eastAsia="zh-CN"/>
          <w14:textFill>
            <w14:solidFill>
              <w14:schemeClr w14:val="tx1"/>
            </w14:solidFill>
          </w14:textFill>
        </w:rPr>
        <w:t>类细微操作不属于属性改变；②在中国</w:t>
      </w:r>
      <w:r>
        <w:rPr>
          <w:rFonts w:hint="eastAsia"/>
          <w:color w:val="000000" w:themeColor="text1"/>
          <w:spacing w:val="6"/>
          <w:sz w:val="24"/>
          <w:szCs w:val="24"/>
          <w:lang w:eastAsia="zh-CN"/>
          <w14:textFill>
            <w14:solidFill>
              <w14:schemeClr w14:val="tx1"/>
            </w14:solidFill>
          </w14:textFill>
        </w:rPr>
        <w:t>境内生产的组件成本占比达到财政部会同行业主管部门规定比例</w:t>
      </w:r>
      <w:r>
        <w:rPr>
          <w:rFonts w:hint="eastAsia"/>
          <w:color w:val="000000" w:themeColor="text1"/>
          <w:spacing w:val="-4"/>
          <w:sz w:val="24"/>
          <w:szCs w:val="24"/>
          <w:lang w:eastAsia="zh-CN"/>
          <w14:textFill>
            <w14:solidFill>
              <w14:schemeClr w14:val="tx1"/>
            </w14:solidFill>
          </w14:textFill>
        </w:rPr>
        <w:t>（在分产品比例要求实施前，仅需满足前款境内生产条件即可视同</w:t>
      </w:r>
      <w:r>
        <w:rPr>
          <w:rFonts w:hint="eastAsia"/>
          <w:color w:val="000000" w:themeColor="text1"/>
          <w:spacing w:val="1"/>
          <w:sz w:val="24"/>
          <w:szCs w:val="24"/>
          <w:lang w:eastAsia="zh-CN"/>
          <w14:textFill>
            <w14:solidFill>
              <w14:schemeClr w14:val="tx1"/>
            </w14:solidFill>
          </w14:textFill>
        </w:rPr>
        <w:t>本国产品</w:t>
      </w:r>
      <w:r>
        <w:rPr>
          <w:rFonts w:hint="eastAsia"/>
          <w:color w:val="000000" w:themeColor="text1"/>
          <w:spacing w:val="-65"/>
          <w:sz w:val="24"/>
          <w:szCs w:val="24"/>
          <w:lang w:eastAsia="zh-CN"/>
          <w14:textFill>
            <w14:solidFill>
              <w14:schemeClr w14:val="tx1"/>
            </w14:solidFill>
          </w14:textFill>
        </w:rPr>
        <w:t>）；</w:t>
      </w:r>
      <w:r>
        <w:rPr>
          <w:rFonts w:hint="eastAsia"/>
          <w:color w:val="000000" w:themeColor="text1"/>
          <w:spacing w:val="1"/>
          <w:sz w:val="24"/>
          <w:szCs w:val="24"/>
          <w:lang w:eastAsia="zh-CN"/>
          <w14:textFill>
            <w14:solidFill>
              <w14:schemeClr w14:val="tx1"/>
            </w14:solidFill>
          </w14:textFill>
        </w:rPr>
        <w:t>③特定产品在满足前两项条件基础上</w:t>
      </w:r>
      <w:r>
        <w:rPr>
          <w:rFonts w:hint="eastAsia"/>
          <w:color w:val="000000" w:themeColor="text1"/>
          <w:sz w:val="24"/>
          <w:szCs w:val="24"/>
          <w:lang w:eastAsia="zh-CN"/>
          <w14:textFill>
            <w14:solidFill>
              <w14:schemeClr w14:val="tx1"/>
            </w14:solidFill>
          </w14:textFill>
        </w:rPr>
        <w:t>，其关键组件、</w:t>
      </w:r>
      <w:r>
        <w:rPr>
          <w:rFonts w:hint="eastAsia"/>
          <w:color w:val="000000" w:themeColor="text1"/>
          <w:spacing w:val="11"/>
          <w:sz w:val="24"/>
          <w:szCs w:val="24"/>
          <w:lang w:eastAsia="zh-CN"/>
          <w14:textFill>
            <w14:solidFill>
              <w14:schemeClr w14:val="tx1"/>
            </w14:solidFill>
          </w14:textFill>
        </w:rPr>
        <w:t>关键工序符合财政部会同行业主管部门确定的境内生产/完成要</w:t>
      </w:r>
      <w:r>
        <w:rPr>
          <w:rFonts w:hint="eastAsia"/>
          <w:color w:val="000000" w:themeColor="text1"/>
          <w:spacing w:val="-5"/>
          <w:sz w:val="24"/>
          <w:szCs w:val="24"/>
          <w:lang w:eastAsia="zh-CN"/>
          <w14:textFill>
            <w14:solidFill>
              <w14:schemeClr w14:val="tx1"/>
            </w14:solidFill>
          </w14:textFill>
        </w:rPr>
        <w:t>求。</w:t>
      </w:r>
    </w:p>
    <w:p w14:paraId="3B3B8B8D">
      <w:pPr>
        <w:pStyle w:val="18"/>
        <w:spacing w:line="360" w:lineRule="auto"/>
        <w:ind w:left="24" w:right="15" w:firstLine="464" w:firstLineChars="202"/>
        <w:rPr>
          <w:rFonts w:hint="eastAsia"/>
          <w:color w:val="000000" w:themeColor="text1"/>
          <w:spacing w:val="-5"/>
          <w:sz w:val="24"/>
          <w:szCs w:val="24"/>
          <w:lang w:eastAsia="zh-CN"/>
          <w14:textFill>
            <w14:solidFill>
              <w14:schemeClr w14:val="tx1"/>
            </w14:solidFill>
          </w14:textFill>
        </w:rPr>
      </w:pPr>
      <w:r>
        <w:rPr>
          <w:rFonts w:hint="eastAsia"/>
          <w:color w:val="000000" w:themeColor="text1"/>
          <w:spacing w:val="-5"/>
          <w:sz w:val="24"/>
          <w:szCs w:val="24"/>
          <w:lang w:eastAsia="zh-CN"/>
          <w14:textFill>
            <w14:solidFill>
              <w14:schemeClr w14:val="tx1"/>
            </w14:solidFill>
          </w14:textFill>
        </w:rPr>
        <w:t>（4）产品在中国境内生产的组件成本核算，严格按照《通知》附件 1《中国境内生产的组件成本核算基本规则》执行，以产品二级组件成本核算为原则，一级组件可满足判定需求的按一级组件核算。</w:t>
      </w:r>
    </w:p>
    <w:p w14:paraId="6D2CC28E">
      <w:pPr>
        <w:pStyle w:val="18"/>
        <w:spacing w:line="360" w:lineRule="auto"/>
        <w:ind w:left="24" w:right="15" w:firstLine="484" w:firstLineChars="202"/>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（5）政府采购活动中既有本国产品又有非本国产品参与竞争的，依法对本国产品给予价格评审优惠，对本国产品的报价给予20%的价格扣除，用扣除后的价格参与评审。</w:t>
      </w:r>
    </w:p>
    <w:p w14:paraId="540870F7">
      <w:pPr>
        <w:pStyle w:val="9"/>
        <w:spacing w:before="0" w:beforeAutospacing="0" w:after="0" w:afterAutospacing="0" w:line="360" w:lineRule="auto"/>
        <w:ind w:firstLine="420"/>
        <w:rPr>
          <w:rFonts w:hint="eastAsia"/>
          <w:color w:val="000000" w:themeColor="text1"/>
          <w:kern w:val="2"/>
          <w14:textFill>
            <w14:solidFill>
              <w14:schemeClr w14:val="tx1"/>
            </w14:solidFill>
          </w14:textFill>
        </w:rPr>
      </w:pPr>
      <w:r>
        <w:rPr>
          <w:rFonts w:hint="eastAsia"/>
          <w:color w:val="000000" w:themeColor="text1"/>
          <w:kern w:val="2"/>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0585FE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（6）对符合本国产品标准的产品/供应商报价执行 20%价格扣除的评审优惠，扣除后的价格作为评审价格参与评审，具体规则如下：</w:t>
      </w:r>
    </w:p>
    <w:p w14:paraId="0EA843F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①单一产品情形：投标产品为单一产品，且投标人已提交合规《声明函》证明该产品为本国产品的，对该产品的投标报价给予 20%的价格扣除。</w:t>
      </w:r>
    </w:p>
    <w:p w14:paraId="0F9C979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104E5E6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③上述产品成本均以投标人投标文件中载明的真实成本数据、采购合同、进货记录等会计核算数据为依据；价格扣除仅用于评审阶段的价格比较，不改变投标人的投标报价及中标后的签约结算价格。</w:t>
      </w:r>
    </w:p>
    <w:p w14:paraId="24E6E42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④中华人民共和国缔结或共同参加的国际条约、协定对政府采购本国产品政策另有规定的，从其规定。</w:t>
      </w:r>
    </w:p>
    <w:p w14:paraId="3A39A0F7">
      <w:pPr>
        <w:numPr>
          <w:ilvl w:val="0"/>
          <w:numId w:val="2"/>
        </w:num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未提供《关于符合本国产品标准的声明函》的不给予价格评审优惠。</w:t>
      </w:r>
    </w:p>
    <w:p w14:paraId="1D04A5CE">
      <w:pPr>
        <w:numPr>
          <w:ilvl w:val="255"/>
          <w:numId w:val="0"/>
        </w:num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4、异常低价审查</w:t>
      </w:r>
    </w:p>
    <w:p w14:paraId="795C410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4.1政府采购评审中出现下列情形之一的，评标委员会应当启动异常低价投标审查程序：</w:t>
      </w:r>
    </w:p>
    <w:p w14:paraId="5BBAEE7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（1）投标报价低于全部通过符合性审投标人投标报价平均值</w:t>
      </w:r>
      <w:r>
        <w:rPr>
          <w:rFonts w:ascii="宋体" w:hAnsi="宋体" w:cs="宋体"/>
          <w:color w:val="000000" w:themeColor="text1"/>
          <w:sz w:val="24"/>
          <w:szCs w:val="24"/>
          <w14:textFill>
            <w14:solidFill>
              <w14:schemeClr w14:val="tx1"/>
            </w14:solidFill>
          </w14:textFill>
        </w:rPr>
        <w:t>65</w:t>
      </w:r>
      <w:r>
        <w:rPr>
          <w:rFonts w:hint="eastAsia" w:ascii="宋体" w:hAnsi="宋体" w:cs="宋体"/>
          <w:color w:val="000000" w:themeColor="text1"/>
          <w:sz w:val="24"/>
          <w:szCs w:val="24"/>
          <w14:textFill>
            <w14:solidFill>
              <w14:schemeClr w14:val="tx1"/>
            </w14:solidFill>
          </w14:textFill>
        </w:rPr>
        <w:t>%的，即投标报价＜全部通过符合性审查投标人投标报价平均值×</w:t>
      </w:r>
      <w:r>
        <w:rPr>
          <w:rFonts w:ascii="宋体" w:hAnsi="宋体" w:cs="宋体"/>
          <w:color w:val="000000" w:themeColor="text1"/>
          <w:sz w:val="24"/>
          <w:szCs w:val="24"/>
          <w14:textFill>
            <w14:solidFill>
              <w14:schemeClr w14:val="tx1"/>
            </w14:solidFill>
          </w14:textFill>
        </w:rPr>
        <w:t>65</w:t>
      </w:r>
      <w:r>
        <w:rPr>
          <w:rFonts w:hint="eastAsia" w:ascii="宋体" w:hAnsi="宋体" w:cs="宋体"/>
          <w:color w:val="000000" w:themeColor="text1"/>
          <w:sz w:val="24"/>
          <w:szCs w:val="24"/>
          <w14:textFill>
            <w14:solidFill>
              <w14:schemeClr w14:val="tx1"/>
            </w14:solidFill>
          </w14:textFill>
        </w:rPr>
        <w:t>%；</w:t>
      </w:r>
    </w:p>
    <w:p w14:paraId="7290317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（2）投标报价低于通过符合性审查的次低报价投标人投标报价</w:t>
      </w:r>
      <w:r>
        <w:rPr>
          <w:rFonts w:ascii="宋体" w:hAnsi="宋体" w:cs="宋体"/>
          <w:color w:val="000000" w:themeColor="text1"/>
          <w:sz w:val="24"/>
          <w:szCs w:val="24"/>
          <w14:textFill>
            <w14:solidFill>
              <w14:schemeClr w14:val="tx1"/>
            </w14:solidFill>
          </w14:textFill>
        </w:rPr>
        <w:t>65</w:t>
      </w:r>
      <w:r>
        <w:rPr>
          <w:rFonts w:hint="eastAsia" w:ascii="宋体" w:hAnsi="宋体" w:cs="宋体"/>
          <w:color w:val="000000" w:themeColor="text1"/>
          <w:sz w:val="24"/>
          <w:szCs w:val="24"/>
          <w14:textFill>
            <w14:solidFill>
              <w14:schemeClr w14:val="tx1"/>
            </w14:solidFill>
          </w14:textFill>
        </w:rPr>
        <w:t>%的，即投标报价＜通过符合性审查的次低报价投标人投标报价×</w:t>
      </w:r>
      <w:r>
        <w:rPr>
          <w:rFonts w:ascii="宋体" w:hAnsi="宋体" w:cs="宋体"/>
          <w:color w:val="000000" w:themeColor="text1"/>
          <w:sz w:val="24"/>
          <w:szCs w:val="24"/>
          <w14:textFill>
            <w14:solidFill>
              <w14:schemeClr w14:val="tx1"/>
            </w14:solidFill>
          </w14:textFill>
        </w:rPr>
        <w:t>65</w:t>
      </w:r>
      <w:r>
        <w:rPr>
          <w:rFonts w:hint="eastAsia" w:ascii="宋体" w:hAnsi="宋体" w:cs="宋体"/>
          <w:color w:val="000000" w:themeColor="text1"/>
          <w:sz w:val="24"/>
          <w:szCs w:val="24"/>
          <w14:textFill>
            <w14:solidFill>
              <w14:schemeClr w14:val="tx1"/>
            </w14:solidFill>
          </w14:textFill>
        </w:rPr>
        <w:t>%；</w:t>
      </w:r>
    </w:p>
    <w:p w14:paraId="79295E18">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（3）投标报价低于采购项目最高限价</w:t>
      </w:r>
      <w:r>
        <w:rPr>
          <w:rFonts w:ascii="宋体" w:hAnsi="宋体" w:cs="宋体"/>
          <w:color w:val="000000" w:themeColor="text1"/>
          <w:sz w:val="24"/>
          <w:szCs w:val="24"/>
          <w14:textFill>
            <w14:solidFill>
              <w14:schemeClr w14:val="tx1"/>
            </w14:solidFill>
          </w14:textFill>
        </w:rPr>
        <w:t>65</w:t>
      </w:r>
      <w:r>
        <w:rPr>
          <w:rFonts w:hint="eastAsia" w:ascii="宋体" w:hAnsi="宋体" w:cs="宋体"/>
          <w:color w:val="000000" w:themeColor="text1"/>
          <w:sz w:val="24"/>
          <w:szCs w:val="24"/>
          <w14:textFill>
            <w14:solidFill>
              <w14:schemeClr w14:val="tx1"/>
            </w14:solidFill>
          </w14:textFill>
        </w:rPr>
        <w:t>%的，即投标报价＜采购项目最高限价×65%；</w:t>
      </w:r>
    </w:p>
    <w:p w14:paraId="725FA02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（4）评标委员会基于专业判断，认为投标人报价过低，有可能影响产品质量或者不能诚信履约的其他情形。</w:t>
      </w:r>
    </w:p>
    <w:p w14:paraId="059F4E37">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39112E08">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评标委员会依据专业经验，参考同类项目中标(成交)价格、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w:t>
      </w:r>
    </w:p>
    <w:p w14:paraId="3A9EA3CD">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 为 。</w:t>
      </w:r>
    </w:p>
    <w:p w14:paraId="7D16F6AB">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异常低价投标审查的启动原因、审查意见和审查结果应当在评审报告中记录，并随供应商提供的相关书面说明及证明材料，以及评标委员会有关互联网浏览、查询历史一并归档。</w:t>
      </w:r>
    </w:p>
    <w:p w14:paraId="428085F4">
      <w:pPr>
        <w:tabs>
          <w:tab w:val="left" w:pos="-1080"/>
          <w:tab w:val="left" w:pos="180"/>
          <w:tab w:val="left" w:pos="1080"/>
        </w:tabs>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（四）综合得分= F1+ F2 + F3 。</w:t>
      </w:r>
    </w:p>
    <w:p w14:paraId="1084A5DD">
      <w:pPr>
        <w:pStyle w:val="5"/>
        <w:spacing w:line="360" w:lineRule="auto"/>
        <w:ind w:firstLine="840"/>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备注：1、技术商务评分中涉及排名情况的评分由评标委员会根据各投标人投标文件的响应情况进行综合评议得出排名。</w:t>
      </w:r>
    </w:p>
    <w:p w14:paraId="5A13F960">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10E88393">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6752C9AF">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38364C09">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3FA1CDFB">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26087682">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61F9FE6E">
      <w:pPr>
        <w:spacing w:line="360" w:lineRule="auto"/>
        <w:rPr>
          <w:rFonts w:hint="eastAsia" w:ascii="宋体" w:hAnsi="宋体" w:cs="宋体"/>
          <w:color w:val="000000" w:themeColor="text1"/>
          <w:sz w:val="32"/>
          <w:szCs w:val="32"/>
          <w14:textFill>
            <w14:solidFill>
              <w14:schemeClr w14:val="tx1"/>
            </w14:solidFill>
          </w14:textFill>
        </w:rPr>
      </w:pPr>
    </w:p>
    <w:p w14:paraId="4A9283C5">
      <w:pPr>
        <w:spacing w:line="360" w:lineRule="auto"/>
        <w:ind w:firstLine="1600" w:firstLineChars="500"/>
        <w:rPr>
          <w:rFonts w:hint="eastAsia" w:ascii="宋体" w:hAnsi="宋体" w:cs="宋体"/>
          <w:color w:val="000000" w:themeColor="text1"/>
          <w:sz w:val="32"/>
          <w:szCs w:val="32"/>
          <w14:textFill>
            <w14:solidFill>
              <w14:schemeClr w14:val="tx1"/>
            </w14:solidFill>
          </w14:textFill>
        </w:rPr>
      </w:pPr>
    </w:p>
    <w:p w14:paraId="2D8CEBED">
      <w:pPr>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3817EFB8">
      <w:pPr>
        <w:spacing w:line="360" w:lineRule="auto"/>
        <w:ind w:firstLine="0" w:firstLineChars="0"/>
        <w:jc w:val="center"/>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投标人须知前附表4：中小企业优惠办法</w:t>
      </w:r>
    </w:p>
    <w:tbl>
      <w:tblPr>
        <w:tblStyle w:val="11"/>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7753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14:paraId="56D18E5C">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序号</w:t>
            </w:r>
          </w:p>
        </w:tc>
        <w:tc>
          <w:tcPr>
            <w:tcW w:w="1677" w:type="dxa"/>
            <w:vAlign w:val="center"/>
          </w:tcPr>
          <w:p w14:paraId="7AD1E7F0">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w:t>
            </w:r>
          </w:p>
        </w:tc>
        <w:tc>
          <w:tcPr>
            <w:tcW w:w="6063" w:type="dxa"/>
            <w:vAlign w:val="center"/>
          </w:tcPr>
          <w:p w14:paraId="2946FA7D">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具体内容</w:t>
            </w:r>
          </w:p>
        </w:tc>
      </w:tr>
      <w:tr w14:paraId="3F105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vAlign w:val="center"/>
          </w:tcPr>
          <w:p w14:paraId="5F4054FB">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w:t>
            </w:r>
          </w:p>
        </w:tc>
        <w:tc>
          <w:tcPr>
            <w:tcW w:w="1677" w:type="dxa"/>
            <w:vAlign w:val="center"/>
          </w:tcPr>
          <w:p w14:paraId="0CD21DEB">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本项目是否属于预留份额专门面向中小企业采购活动：</w:t>
            </w:r>
          </w:p>
        </w:tc>
        <w:tc>
          <w:tcPr>
            <w:tcW w:w="6063" w:type="dxa"/>
            <w:vAlign w:val="center"/>
          </w:tcPr>
          <w:p w14:paraId="2EC922BA">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 xml:space="preserve">是/ </w:t>
            </w:r>
            <w:r>
              <w:rPr>
                <w:rFonts w:hint="eastAsia" w:ascii="宋体" w:hAnsi="宋体" w:cs="宋体"/>
                <w:b/>
                <w:color w:val="000000" w:themeColor="text1"/>
                <w:sz w:val="24"/>
                <w:szCs w:val="24"/>
                <w14:textFill>
                  <w14:solidFill>
                    <w14:schemeClr w14:val="tx1"/>
                  </w14:solidFill>
                </w14:textFill>
              </w:rPr>
              <w:fldChar w:fldCharType="begin"/>
            </w:r>
            <w:r>
              <w:rPr>
                <w:rFonts w:hint="eastAsia" w:ascii="宋体" w:hAnsi="宋体" w:cs="宋体"/>
                <w:b/>
                <w:color w:val="000000" w:themeColor="text1"/>
                <w:sz w:val="24"/>
                <w:szCs w:val="24"/>
                <w14:textFill>
                  <w14:solidFill>
                    <w14:schemeClr w14:val="tx1"/>
                  </w14:solidFill>
                </w14:textFill>
              </w:rPr>
              <w:instrText xml:space="preserve"> eq \o\ac(</w:instrText>
            </w:r>
            <w:r>
              <w:rPr>
                <w:rFonts w:hint="eastAsia" w:ascii="宋体" w:hAnsi="宋体" w:cs="宋体"/>
                <w:b/>
                <w:color w:val="000000" w:themeColor="text1"/>
                <w:position w:val="-4"/>
                <w:sz w:val="36"/>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instrText xml:space="preserve">,√)</w:instrText>
            </w:r>
            <w:r>
              <w:rPr>
                <w:rFonts w:hint="eastAsia" w:ascii="宋体" w:hAnsi="宋体" w:cs="宋体"/>
                <w:b/>
                <w:color w:val="000000" w:themeColor="text1"/>
                <w:sz w:val="24"/>
                <w:szCs w:val="24"/>
                <w14:textFill>
                  <w14:solidFill>
                    <w14:schemeClr w14:val="tx1"/>
                  </w14:solidFill>
                </w14:textFill>
              </w:rPr>
              <w:fldChar w:fldCharType="end"/>
            </w:r>
            <w:r>
              <w:rPr>
                <w:rFonts w:hint="eastAsia" w:ascii="宋体" w:hAnsi="宋体" w:cs="宋体"/>
                <w:color w:val="000000" w:themeColor="text1"/>
                <w:sz w:val="24"/>
                <w:szCs w:val="24"/>
                <w14:textFill>
                  <w14:solidFill>
                    <w14:schemeClr w14:val="tx1"/>
                  </w14:solidFill>
                </w14:textFill>
              </w:rPr>
              <w:t>否</w:t>
            </w:r>
          </w:p>
        </w:tc>
      </w:tr>
      <w:tr w14:paraId="55AE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vAlign w:val="center"/>
          </w:tcPr>
          <w:p w14:paraId="74D7F7F9">
            <w:pPr>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w:t>
            </w:r>
          </w:p>
        </w:tc>
        <w:tc>
          <w:tcPr>
            <w:tcW w:w="1677" w:type="dxa"/>
            <w:vAlign w:val="center"/>
          </w:tcPr>
          <w:p w14:paraId="1F6D22DA">
            <w:pPr>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中小企业的认定标准</w:t>
            </w:r>
          </w:p>
        </w:tc>
        <w:tc>
          <w:tcPr>
            <w:tcW w:w="6063" w:type="dxa"/>
          </w:tcPr>
          <w:p w14:paraId="024D77F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中小企业参加政府采购活动，应当出具《中小企业声明函》，否则不得享受相关中小企业扶持政策。</w:t>
            </w:r>
          </w:p>
          <w:p w14:paraId="10B3C25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须满足以下条件，才能认定为中小企业</w:t>
            </w:r>
            <w:r>
              <w:rPr>
                <w:rFonts w:hint="eastAsia" w:ascii="宋体" w:hAnsi="宋体" w:cs="宋体"/>
                <w:b/>
                <w:color w:val="000000" w:themeColor="text1"/>
                <w:sz w:val="24"/>
                <w:szCs w:val="24"/>
                <w14:textFill>
                  <w14:solidFill>
                    <w14:schemeClr w14:val="tx1"/>
                  </w14:solidFill>
                </w14:textFill>
              </w:rPr>
              <w:t>（含中型、小型、微型企业，下同）</w:t>
            </w:r>
            <w:r>
              <w:rPr>
                <w:rFonts w:hint="eastAsia" w:ascii="宋体" w:hAnsi="宋体" w:cs="宋体"/>
                <w:color w:val="000000" w:themeColor="text1"/>
                <w:sz w:val="24"/>
                <w:szCs w:val="24"/>
                <w14:textFill>
                  <w14:solidFill>
                    <w14:schemeClr w14:val="tx1"/>
                  </w14:solidFill>
                </w14:textFill>
              </w:rPr>
              <w:t>：</w:t>
            </w:r>
          </w:p>
          <w:p w14:paraId="2B0911C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5C16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vAlign w:val="center"/>
          </w:tcPr>
          <w:p w14:paraId="4C6122F6">
            <w:pPr>
              <w:widowControl/>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w:t>
            </w:r>
          </w:p>
        </w:tc>
        <w:tc>
          <w:tcPr>
            <w:tcW w:w="1677" w:type="dxa"/>
            <w:vAlign w:val="center"/>
          </w:tcPr>
          <w:p w14:paraId="313664C0">
            <w:pPr>
              <w:widowControl/>
              <w:spacing w:line="360" w:lineRule="auto"/>
              <w:ind w:left="-65" w:leftChars="-31" w:firstLine="475" w:firstLineChars="205"/>
              <w:jc w:val="left"/>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优惠办法：</w:t>
            </w:r>
          </w:p>
        </w:tc>
        <w:tc>
          <w:tcPr>
            <w:tcW w:w="6063" w:type="dxa"/>
            <w:tcBorders>
              <w:bottom w:val="single" w:color="auto" w:sz="4" w:space="0"/>
            </w:tcBorders>
          </w:tcPr>
          <w:p w14:paraId="661F171B">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投标产品为中小企业（含中型、小型、微型企业，下同）生产：</w:t>
            </w:r>
          </w:p>
          <w:p w14:paraId="73EF9F9A">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①投标保证金：全免</w:t>
            </w:r>
          </w:p>
          <w:p w14:paraId="5DADA2A8">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②履约保证金：按约定比例的50%支付（如果有的话）</w:t>
            </w:r>
          </w:p>
          <w:p w14:paraId="5F689D0F">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③代理服务费：按招标文件规定的收费标准下调10%</w:t>
            </w:r>
          </w:p>
          <w:p w14:paraId="5F2E9627">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④缩短付款时间</w:t>
            </w:r>
          </w:p>
          <w:p w14:paraId="5D05643E">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投标产品为小型企业或微型企业生产：</w:t>
            </w:r>
          </w:p>
          <w:p w14:paraId="52BAF8EA">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hint="eastAsia" w:ascii="宋体" w:hAnsi="宋体" w:cs="宋体"/>
                <w:color w:val="000000" w:themeColor="text1"/>
                <w:spacing w:val="-4"/>
                <w:sz w:val="24"/>
                <w:szCs w:val="24"/>
                <w14:textFill>
                  <w14:solidFill>
                    <w14:schemeClr w14:val="tx1"/>
                  </w14:solidFill>
                </w14:textFill>
              </w:rPr>
              <w:t>投标人提供的货物既有中型企业制造，也有小微企业制造的，不享受办法规定的小微企业扶持政策。</w:t>
            </w:r>
          </w:p>
          <w:p w14:paraId="17F7CB0A">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ascii="宋体" w:hAnsi="宋体" w:cs="宋体"/>
                <w:color w:val="000000" w:themeColor="text1"/>
                <w:spacing w:val="-4"/>
                <w:sz w:val="24"/>
                <w:szCs w:val="24"/>
                <w14:textFill>
                  <w14:solidFill>
                    <w14:schemeClr w14:val="tx1"/>
                  </w14:solidFill>
                </w14:textFill>
              </w:rPr>
              <w:t>对其提供的小型或微型企业产品的投标报价给予20%的扣除，扣除后的价格作为该投标人的评标价参与价格评分。</w:t>
            </w:r>
          </w:p>
          <w:p w14:paraId="52811EFE">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ascii="宋体" w:hAnsi="宋体" w:cs="宋体"/>
                <w:color w:val="000000" w:themeColor="text1"/>
                <w:spacing w:val="-4"/>
                <w:sz w:val="24"/>
                <w:szCs w:val="24"/>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294FA7C9">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ascii="宋体" w:hAnsi="宋体" w:cs="宋体"/>
                <w:color w:val="000000" w:themeColor="text1"/>
                <w:spacing w:val="-4"/>
                <w:sz w:val="24"/>
                <w:szCs w:val="24"/>
                <w14:textFill>
                  <w14:solidFill>
                    <w14:schemeClr w14:val="tx1"/>
                  </w14:solidFill>
                </w14:textFill>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03AFD052">
            <w:pPr>
              <w:spacing w:line="360" w:lineRule="auto"/>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r>
              <w:rPr>
                <w:rFonts w:ascii="宋体" w:hAnsi="宋体" w:cs="宋体"/>
                <w:color w:val="000000" w:themeColor="text1"/>
                <w:spacing w:val="-4"/>
                <w:sz w:val="24"/>
                <w:szCs w:val="24"/>
                <w14:textFill>
                  <w14:solidFill>
                    <w14:schemeClr w14:val="tx1"/>
                  </w14:solidFill>
                </w14:textFill>
              </w:rPr>
              <w:t>若本项目属于预留份额专门面向中小企业采购活动，不再执行价格评审优惠的扶持政策。</w:t>
            </w:r>
          </w:p>
          <w:p w14:paraId="0488555C">
            <w:pPr>
              <w:ind w:left="-65" w:leftChars="-31" w:firstLine="475" w:firstLineChars="205"/>
              <w:rPr>
                <w:rFonts w:hint="eastAsia" w:ascii="宋体" w:hAnsi="宋体" w:cs="宋体"/>
                <w:color w:val="000000" w:themeColor="text1"/>
                <w:spacing w:val="-4"/>
                <w:sz w:val="24"/>
                <w:szCs w:val="24"/>
                <w14:textFill>
                  <w14:solidFill>
                    <w14:schemeClr w14:val="tx1"/>
                  </w14:solidFill>
                </w14:textFill>
              </w:rPr>
            </w:pPr>
          </w:p>
        </w:tc>
      </w:tr>
      <w:tr w14:paraId="4DA5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3004186A">
            <w:pPr>
              <w:widowControl/>
              <w:spacing w:line="360" w:lineRule="auto"/>
              <w:jc w:val="center"/>
              <w:rPr>
                <w:rFonts w:hint="eastAsia" w:ascii="宋体" w:hAnsi="宋体" w:cs="宋体"/>
                <w:b/>
                <w:dstrike/>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4</w:t>
            </w:r>
          </w:p>
        </w:tc>
        <w:tc>
          <w:tcPr>
            <w:tcW w:w="1677" w:type="dxa"/>
            <w:vAlign w:val="center"/>
          </w:tcPr>
          <w:p w14:paraId="7CBC2500">
            <w:pPr>
              <w:pStyle w:val="9"/>
              <w:spacing w:before="0" w:beforeAutospacing="0" w:after="0" w:afterAutospacing="0"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本项目对应的中小企业划分标准所属 </w:t>
            </w:r>
            <w:r>
              <w:rPr>
                <w:rFonts w:hint="eastAsia"/>
                <w:b/>
                <w:bCs/>
                <w:color w:val="000000" w:themeColor="text1"/>
                <w:u w:val="single"/>
                <w14:textFill>
                  <w14:solidFill>
                    <w14:schemeClr w14:val="tx1"/>
                  </w14:solidFill>
                </w14:textFill>
              </w:rPr>
              <w:t>工业</w:t>
            </w:r>
            <w:r>
              <w:rPr>
                <w:rFonts w:hint="eastAsia"/>
                <w:color w:val="000000" w:themeColor="text1"/>
                <w14:textFill>
                  <w14:solidFill>
                    <w14:schemeClr w14:val="tx1"/>
                  </w14:solidFill>
                </w14:textFill>
              </w:rPr>
              <w:t>行业。</w:t>
            </w:r>
          </w:p>
        </w:tc>
        <w:tc>
          <w:tcPr>
            <w:tcW w:w="6063" w:type="dxa"/>
            <w:tcBorders>
              <w:bottom w:val="single" w:color="auto" w:sz="4" w:space="0"/>
            </w:tcBorders>
          </w:tcPr>
          <w:p w14:paraId="5399A62B">
            <w:pPr>
              <w:spacing w:line="360" w:lineRule="auto"/>
              <w:rPr>
                <w:rFonts w:hint="eastAsia" w:ascii="宋体" w:hAnsi="宋体" w:cs="宋体"/>
                <w:dstrike/>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13AA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596A7C62">
            <w:pPr>
              <w:widowControl/>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5</w:t>
            </w:r>
          </w:p>
        </w:tc>
        <w:tc>
          <w:tcPr>
            <w:tcW w:w="1677" w:type="dxa"/>
            <w:vAlign w:val="center"/>
          </w:tcPr>
          <w:p w14:paraId="3E0ED087">
            <w:pPr>
              <w:widowControl/>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相关风险</w:t>
            </w:r>
          </w:p>
        </w:tc>
        <w:tc>
          <w:tcPr>
            <w:tcW w:w="6063" w:type="dxa"/>
            <w:tcBorders>
              <w:bottom w:val="single" w:color="auto" w:sz="4" w:space="0"/>
            </w:tcBorders>
          </w:tcPr>
          <w:p w14:paraId="182B1947">
            <w:pPr>
              <w:spacing w:line="360" w:lineRule="auto"/>
              <w:ind w:firstLine="482" w:firstLineChars="200"/>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一、经评标委员会评审，存在下列任一情况的，投标人将不被视为中小企业：</w:t>
            </w:r>
          </w:p>
          <w:p w14:paraId="6092B51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1.投标货物全部或部分为使用大型企业注册商标的货物的；</w:t>
            </w:r>
          </w:p>
          <w:p w14:paraId="482765C4">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2.投标文件中标明的中小企业产品的制造商不符合“工信部联企业[2011]300号”规定的中小企业标准的；</w:t>
            </w:r>
          </w:p>
          <w:p w14:paraId="7FD7D645">
            <w:pPr>
              <w:spacing w:line="360" w:lineRule="auto"/>
              <w:ind w:firstLine="482" w:firstLineChars="200"/>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二、提供虚假声明后果：</w:t>
            </w:r>
          </w:p>
          <w:p w14:paraId="0076BB0C">
            <w:pPr>
              <w:widowControl/>
              <w:spacing w:line="360" w:lineRule="auto"/>
              <w:rPr>
                <w:rFonts w:hint="eastAsia" w:ascii="宋体" w:hAnsi="宋体" w:cs="宋体"/>
                <w:b/>
                <w:i/>
                <w:color w:val="000000" w:themeColor="text1"/>
                <w:kern w:val="0"/>
                <w:sz w:val="24"/>
                <w:szCs w:val="24"/>
                <w:u w:val="single"/>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000000" w:themeColor="text1"/>
                <w:sz w:val="24"/>
                <w:szCs w:val="24"/>
                <w14:textFill>
                  <w14:solidFill>
                    <w14:schemeClr w14:val="tx1"/>
                  </w14:solidFill>
                </w14:textFill>
              </w:rPr>
              <w:t>有权上报财政部门，建议财政部门将该投标人列入不良行为记录名单，在一至三年内禁止该投标人参加政府采购活动并予以通报。</w:t>
            </w:r>
            <w:r>
              <w:rPr>
                <w:rFonts w:hint="eastAsia" w:ascii="宋体" w:hAnsi="宋体" w:cs="宋体"/>
                <w:b/>
                <w:i/>
                <w:color w:val="000000" w:themeColor="text1"/>
                <w:kern w:val="0"/>
                <w:sz w:val="24"/>
                <w:szCs w:val="24"/>
                <w:u w:val="single"/>
                <w14:textFill>
                  <w14:solidFill>
                    <w14:schemeClr w14:val="tx1"/>
                  </w14:solidFill>
                </w14:textFill>
              </w:rPr>
              <w:t>（提醒：如果投不满足中小企业的认定标准，则不需要提供《中小企业声明函》，否则因此导致虚假应标的后果由投标人自行承担。）</w:t>
            </w:r>
          </w:p>
        </w:tc>
      </w:tr>
    </w:tbl>
    <w:p w14:paraId="2E813520">
      <w:pPr>
        <w:spacing w:line="360" w:lineRule="auto"/>
        <w:ind w:firstLine="482" w:firstLineChars="200"/>
        <w:rPr>
          <w:rFonts w:hint="eastAsia" w:ascii="宋体" w:hAnsi="宋体" w:cs="宋体"/>
          <w:b/>
          <w:bCs/>
          <w:color w:val="000000" w:themeColor="text1"/>
          <w:sz w:val="24"/>
          <w:szCs w:val="24"/>
          <w14:textFill>
            <w14:solidFill>
              <w14:schemeClr w14:val="tx1"/>
            </w14:solidFill>
          </w14:textFill>
        </w:rPr>
        <w:sectPr>
          <w:footerReference r:id="rId7" w:type="default"/>
          <w:pgSz w:w="11907" w:h="16840"/>
          <w:pgMar w:top="1440" w:right="1752" w:bottom="1290" w:left="1752" w:header="851" w:footer="992" w:gutter="0"/>
          <w:pgNumType w:start="1"/>
          <w:cols w:space="720" w:num="1"/>
          <w:docGrid w:linePitch="323" w:charSpace="-2"/>
        </w:sectPr>
      </w:pPr>
    </w:p>
    <w:p w14:paraId="05BDB9C8">
      <w:pPr>
        <w:pStyle w:val="2"/>
        <w:snapToGrid w:val="0"/>
        <w:spacing w:line="360" w:lineRule="auto"/>
        <w:ind w:firstLine="0"/>
        <w:jc w:val="center"/>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 xml:space="preserve">第三章  </w:t>
      </w:r>
      <w:r>
        <w:rPr>
          <w:rFonts w:hint="eastAsia" w:ascii="宋体" w:hAnsi="宋体" w:cs="宋体"/>
          <w:b/>
          <w:bCs/>
          <w:color w:val="000000" w:themeColor="text1"/>
          <w:sz w:val="32"/>
          <w:szCs w:val="32"/>
          <w14:textFill>
            <w14:solidFill>
              <w14:schemeClr w14:val="tx1"/>
            </w14:solidFill>
          </w14:textFill>
        </w:rPr>
        <w:t>招标内容及要求</w:t>
      </w:r>
    </w:p>
    <w:p w14:paraId="410C4668">
      <w:pPr>
        <w:pStyle w:val="6"/>
        <w:spacing w:after="0" w:line="360" w:lineRule="auto"/>
        <w:ind w:left="181" w:leftChars="86" w:right="-334" w:rightChars="-159"/>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提示说明：</w:t>
      </w:r>
    </w:p>
    <w:p w14:paraId="67520A59">
      <w:pPr>
        <w:pStyle w:val="6"/>
        <w:spacing w:after="0" w:line="360" w:lineRule="auto"/>
        <w:ind w:left="0"/>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（1）全文中带有“★”的条款为关键性条款，对这些关键性条款的任何负偏离或不满足将导致该投标作无效投标处理。</w:t>
      </w:r>
      <w:r>
        <w:rPr>
          <w:rFonts w:hint="eastAsia" w:ascii="宋体" w:hAnsi="宋体" w:cs="宋体"/>
          <w:b/>
          <w:color w:val="000000" w:themeColor="text1"/>
          <w:sz w:val="24"/>
          <w:szCs w:val="24"/>
          <w14:textFill>
            <w14:solidFill>
              <w14:schemeClr w14:val="tx1"/>
            </w14:solidFill>
          </w14:textFill>
        </w:rPr>
        <w:t>投标人应对招标文件中的“★”号条款进行逐条响应，否则评标委员会对其投标做出不利评审，投标人必须自行承担责任。</w:t>
      </w:r>
    </w:p>
    <w:p w14:paraId="51B676F0">
      <w:pPr>
        <w:pStyle w:val="6"/>
        <w:spacing w:after="0" w:line="360" w:lineRule="auto"/>
        <w:ind w:left="0"/>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（2）本项目以合同包为单位，对于每个合同包，投标人必须完整地提供合同包要求的所有货物和服务，否则该投标人针对该合同包的投标将按照无效投标处理。</w:t>
      </w:r>
    </w:p>
    <w:p w14:paraId="5BBA6B5F">
      <w:pPr>
        <w:pStyle w:val="6"/>
        <w:spacing w:after="0" w:line="360" w:lineRule="auto"/>
        <w:ind w:left="0" w:right="-334" w:rightChars="-159"/>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（3）若招标文件第三章所述内容与其它部分的条款发生理解冲突，则以第三章所述内容为准；如招标文件发生变更，则相关条款的解释以更改通知为准。</w:t>
      </w:r>
    </w:p>
    <w:p w14:paraId="2A8DA0E4">
      <w:pPr>
        <w:pStyle w:val="6"/>
        <w:spacing w:after="0" w:line="360" w:lineRule="auto"/>
        <w:ind w:left="0"/>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（4）经评标委员会认定要求澄清的证明文件必须在规定的时间内提供，否则其将不具有中标供应商的资格。</w:t>
      </w:r>
    </w:p>
    <w:p w14:paraId="21A670AE">
      <w:pPr>
        <w:pStyle w:val="6"/>
        <w:spacing w:after="0" w:line="360" w:lineRule="auto"/>
        <w:ind w:left="0"/>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（5）本项目实行网上发售招标文件的方式，招标文件的正式文本以厦门招投标网上下载的内容为准。</w:t>
      </w:r>
    </w:p>
    <w:p w14:paraId="4FFD9337">
      <w:pPr>
        <w:spacing w:line="360" w:lineRule="auto"/>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（6）资格性证明文件请单独成册。</w:t>
      </w:r>
    </w:p>
    <w:p w14:paraId="3DB6038A">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47407D78">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0BE704C5">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40856EC8">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35241FF8">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4F9F25FD">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169F9AAB">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7B926E41">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2487B6F6">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744DECFC">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6350F11E">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07ECE99F">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34C28E0E">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0EBCAB0A">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55EB0633">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18DAD487">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30EF4E8C">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7A1B87CF">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7384E860">
      <w:pPr>
        <w:spacing w:line="360" w:lineRule="auto"/>
        <w:rPr>
          <w:rFonts w:hint="eastAsia"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一、采购清单及技术要求</w:t>
      </w:r>
    </w:p>
    <w:p w14:paraId="627A3104">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1.采购清单</w:t>
      </w:r>
    </w:p>
    <w:tbl>
      <w:tblPr>
        <w:tblStyle w:val="11"/>
        <w:tblW w:w="10313" w:type="dxa"/>
        <w:tblInd w:w="93" w:type="dxa"/>
        <w:tblLayout w:type="fixed"/>
        <w:tblCellMar>
          <w:top w:w="0" w:type="dxa"/>
          <w:left w:w="108" w:type="dxa"/>
          <w:bottom w:w="0" w:type="dxa"/>
          <w:right w:w="108" w:type="dxa"/>
        </w:tblCellMar>
      </w:tblPr>
      <w:tblGrid>
        <w:gridCol w:w="525"/>
        <w:gridCol w:w="623"/>
        <w:gridCol w:w="1020"/>
        <w:gridCol w:w="5925"/>
        <w:gridCol w:w="600"/>
        <w:gridCol w:w="968"/>
        <w:gridCol w:w="652"/>
      </w:tblGrid>
      <w:tr w14:paraId="6A0A6C2B">
        <w:tblPrEx>
          <w:tblCellMar>
            <w:top w:w="0" w:type="dxa"/>
            <w:left w:w="108" w:type="dxa"/>
            <w:bottom w:w="0" w:type="dxa"/>
            <w:right w:w="108" w:type="dxa"/>
          </w:tblCellMar>
        </w:tblPrEx>
        <w:trPr>
          <w:trHeight w:val="25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AFB0BA">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序号</w:t>
            </w:r>
          </w:p>
        </w:tc>
        <w:tc>
          <w:tcPr>
            <w:tcW w:w="623" w:type="dxa"/>
            <w:tcBorders>
              <w:top w:val="single" w:color="auto" w:sz="4" w:space="0"/>
              <w:left w:val="single" w:color="auto" w:sz="4" w:space="0"/>
              <w:bottom w:val="single" w:color="auto" w:sz="4" w:space="0"/>
              <w:right w:val="single" w:color="auto" w:sz="4" w:space="0"/>
            </w:tcBorders>
            <w:shd w:val="clear" w:color="auto" w:fill="FFFFFF"/>
            <w:vAlign w:val="center"/>
          </w:tcPr>
          <w:p w14:paraId="444B9C96">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展项</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503CD75">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货物名称</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6141482">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采购参数要求</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3A9AD1">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单位</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FB6681">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数 量</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4E8A2AEA">
            <w:pPr>
              <w:widowControl/>
              <w:spacing w:line="360" w:lineRule="auto"/>
              <w:jc w:val="center"/>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备注</w:t>
            </w:r>
          </w:p>
        </w:tc>
      </w:tr>
      <w:tr w14:paraId="13F274DC">
        <w:tblPrEx>
          <w:tblCellMar>
            <w:top w:w="0" w:type="dxa"/>
            <w:left w:w="108" w:type="dxa"/>
            <w:bottom w:w="0" w:type="dxa"/>
            <w:right w:w="108" w:type="dxa"/>
          </w:tblCellMar>
        </w:tblPrEx>
        <w:trPr>
          <w:trHeight w:val="53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D7DAC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78D4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大厦之门</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4B41A1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P2.5柔性LED显示屏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59DA78D">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9.28m*13.44m</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（含弧形金属箱体）（异形屏，具体尺寸见附件图纸）</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三合一封装，点间距≤2.5mm，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3.模组底壳采用硅胶材质底壳</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4.亮度≥</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00cd/㎡；亮度均匀性≥9</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6.每平米最大功耗≤</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0W/㎡，每平米平均功耗≤1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7.模组平整度：≤0.1mm，模组拼装精度：≤0.1mm，模组间隙≤0.1mm；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.具有亮度/对比度/色度调节/视觉修正灯图像调整图像处理功能；视频降噪、动态补偿，色彩变换等图像处理功能；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.产品模组供电和控制集成一体化，电源、信号采用一个type-c接口一线传输，电源信号具有盲插功能，无需区分方向； </w:t>
            </w:r>
          </w:p>
          <w:p w14:paraId="19056CA1">
            <w:pPr>
              <w:widowControl/>
              <w:spacing w:line="360" w:lineRule="auto"/>
              <w:jc w:val="left"/>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1</w:t>
            </w:r>
            <w:r>
              <w:rPr>
                <w:rFonts w:hint="default" w:asciiTheme="minorEastAsia" w:hAnsiTheme="minorEastAsia" w:eastAsiaTheme="minorEastAsia" w:cstheme="minorEastAsia"/>
                <w:b/>
                <w:bCs/>
                <w:color w:val="000000" w:themeColor="text1"/>
                <w:sz w:val="24"/>
                <w:szCs w:val="24"/>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.含二合一拼控处理器至屏体的六类网线</w:t>
            </w:r>
            <w:bookmarkStart w:id="28" w:name="OLE_LINK45"/>
            <w:r>
              <w:rPr>
                <w:rFonts w:hint="eastAsia" w:asciiTheme="minorEastAsia" w:hAnsiTheme="minorEastAsia" w:eastAsiaTheme="minorEastAsia" w:cstheme="minorEastAsia"/>
                <w:b/>
                <w:bCs/>
                <w:color w:val="000000" w:themeColor="text1"/>
                <w:sz w:val="24"/>
                <w:szCs w:val="24"/>
                <w14:textFill>
                  <w14:solidFill>
                    <w14:schemeClr w14:val="tx1"/>
                  </w14:solidFill>
                </w14:textFill>
              </w:rPr>
              <w:t>及其管线</w:t>
            </w:r>
            <w:bookmarkEnd w:id="28"/>
            <w:r>
              <w:rPr>
                <w:rFonts w:hint="eastAsia" w:asciiTheme="minorEastAsia" w:hAnsiTheme="minorEastAsia" w:eastAsiaTheme="minorEastAsia" w:cstheme="minorEastAsia"/>
                <w:b/>
                <w:bCs/>
                <w:color w:val="000000" w:themeColor="text1"/>
                <w:sz w:val="24"/>
                <w:szCs w:val="24"/>
                <w14:textFill>
                  <w14:solidFill>
                    <w14:schemeClr w14:val="tx1"/>
                  </w14:solidFill>
                </w14:textFill>
              </w:rPr>
              <w:t>。</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8401D9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F475DD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112.74</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90A8265">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51B9902F">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85535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0AFB7">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0D49A8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C8688AC">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BDC1CF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8E249B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112.74</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9A353E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621817F">
        <w:tblPrEx>
          <w:tblCellMar>
            <w:top w:w="0" w:type="dxa"/>
            <w:left w:w="108" w:type="dxa"/>
            <w:bottom w:w="0" w:type="dxa"/>
            <w:right w:w="108" w:type="dxa"/>
          </w:tblCellMar>
        </w:tblPrEx>
        <w:trPr>
          <w:trHeight w:val="258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77E02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D2D91">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6CBF85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二合一拼控处理器（40网口）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FA52EC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1.输入接口包括2路HDMI2.0,1路DP1.2+HDMI2.0二选一,4路HDMI13,1路USB3.0,支持选配1路3G-SDI(IN+LOOP)，最大支持3路4K@60HZ信号同时输入；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2.视频输出支持40个千兆网口输出，4路10G-OPT光口，最大带载高达2600万像素，最宽支持16384,最高8192；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3.最大可支持12个2K图层或6个4K*1K图层或3个4K图层，全部图层大小和位置可单独调节。4K接口输入2K信号，按2K图层计算图层资源；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CC595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1ACE1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783A408">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4F16627D">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9E731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F6EC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53D605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100KW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C92B01D">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1.最大负载功率：100KW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w:t>
            </w:r>
            <w:bookmarkStart w:id="29" w:name="OLE_LINK46"/>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；有RJ45、RS485接口，</w:t>
            </w:r>
            <w:bookmarkEnd w:id="29"/>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p w14:paraId="218334CD">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10.外壳防护等级：依据GB/T 4208-2017标准，符合IP2X等级</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45020B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FEE378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636E195">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8604979">
        <w:tblPrEx>
          <w:tblCellMar>
            <w:top w:w="0" w:type="dxa"/>
            <w:left w:w="108" w:type="dxa"/>
            <w:bottom w:w="0" w:type="dxa"/>
            <w:right w:w="108" w:type="dxa"/>
          </w:tblCellMar>
        </w:tblPrEx>
        <w:trPr>
          <w:trHeight w:val="701"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C04A2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138C9">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E4667F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多媒体播控终端三</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206C203">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1.设备采用标准机架式金属结构机箱；设备出厂配置不低于：酷睿I7处理器、32G DDR5 高速内存、250G和1T双固态硬盘（投标人须提供书面承诺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 4路 DP 输出，接口分辨率可设置为4路5120×2880@60Hz，单接口极限宽度可设置为 8192，单接口极限高度可设置 8192；支持单设备 4接口拼接同步显示，拼接带载分辨率可设置为7680*4320@60Hz，最大可支持1路8K@60fps或4路4K@60fps媒体素材的硬解码播放，画面正常显示、所有画面均无卡顿、丢帧现象，视频播放的最大帧率不小于 60Hz；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3.一键硬件开关机控制和一键软件远程开关机控制，整机自带6路USB接口；不少于1路 3.5mm麦克风音频输入接口，1路 3.5mm外置音频输入接口，1路 3.5mm音频输出接口，2路卡侬音频输出接口；支持 5路 PCIE 3.0插槽，用于同步卡、采集卡、网卡的扩展，且支持千兆网口通讯；</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4.支持输出画面拆分重组，实现画面任意排序，实现多个输出接口对应画面的任意拆分重组以及任意角度旋转，满足不规则显示屏的拼接带载需求；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5.支持任意一台设备作为超级管理端，可以局域网内其他同系列设备进行超级管理，支持同时控制多个播放端进行节目切换、暂停、停止等操作；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6.支持对视频文件按照独有的格式进行加密，只有在授权密码校验通过后且在有效设定时间（如3个月）内才能正常播放； </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CBF9F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DAE91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B32D302">
            <w:pPr>
              <w:spacing w:line="360" w:lineRule="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p>
        </w:tc>
      </w:tr>
      <w:tr w14:paraId="39C85FA4">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A707F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9221E">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947AEC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759FA93">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B7B8E8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647741E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790DA4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09F3170">
        <w:tblPrEx>
          <w:tblCellMar>
            <w:top w:w="0" w:type="dxa"/>
            <w:left w:w="108" w:type="dxa"/>
            <w:bottom w:w="0" w:type="dxa"/>
            <w:right w:w="108" w:type="dxa"/>
          </w:tblCellMar>
        </w:tblPrEx>
        <w:trPr>
          <w:trHeight w:val="141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83AAB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1384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山海之境</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2CD768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E81FEF2">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1.屏幕尺寸：不小于6.72m*3.84m=25.81㎡（含压铸金属箱体）；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9.灯驱合一，多层电路板设计，PCB焊盘采用沉金工艺处理；</w:t>
            </w:r>
          </w:p>
          <w:p w14:paraId="1D3974E5">
            <w:pPr>
              <w:widowControl/>
              <w:spacing w:line="360" w:lineRule="auto"/>
              <w:jc w:val="left"/>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1</w:t>
            </w:r>
            <w:r>
              <w:rPr>
                <w:rFonts w:hint="default" w:asciiTheme="minorEastAsia" w:hAnsiTheme="minorEastAsia" w:eastAsiaTheme="minorEastAsia" w:cstheme="minorEastAsia"/>
                <w:b/>
                <w:bCs/>
                <w:color w:val="000000" w:themeColor="text1"/>
                <w:sz w:val="24"/>
                <w:szCs w:val="24"/>
                <w14:textFill>
                  <w14:solidFill>
                    <w14:schemeClr w14:val="tx1"/>
                  </w14:solidFill>
                </w14:textFill>
              </w:rPr>
              <w:t>0</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.含二合一拼控处理器至屏体的六类网线及其管线。</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909C83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2B5821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25.81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7391A37">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44657212">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1C665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6C37C">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B346AD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4468BE2">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4B7E631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082F5F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25.81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63B2161">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682B5519">
        <w:tblPrEx>
          <w:tblCellMar>
            <w:top w:w="0" w:type="dxa"/>
            <w:left w:w="108" w:type="dxa"/>
            <w:bottom w:w="0" w:type="dxa"/>
            <w:right w:w="108" w:type="dxa"/>
          </w:tblCellMar>
        </w:tblPrEx>
        <w:trPr>
          <w:trHeight w:val="24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7A16A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240F6">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B4A91B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二合一拼控处理器（16网口）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854DC4F">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1.输入接口包括1路HDMI2.0,1路DP1.2,4路HDMI13,1路USB3.0,支持选配1路3G-SDI(IN+LOOP)，最大支持2路4K@60HZ信号同时输入；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2.视频输出支持16个千兆网口输出，2路10G-OPT光口，最大带载高达1040万像素，最宽支持16384,最高8192；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3.最大可支持12个2K图层或6个4K*1K图层或3个4K图层，全部图层大小和位置可单独调节。4K接口输入2K信号，按2K图层计算图层资源；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25792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9D65A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99CEE1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28B7379">
        <w:tblPrEx>
          <w:tblCellMar>
            <w:top w:w="0" w:type="dxa"/>
            <w:left w:w="108" w:type="dxa"/>
            <w:bottom w:w="0" w:type="dxa"/>
            <w:right w:w="108" w:type="dxa"/>
          </w:tblCellMar>
        </w:tblPrEx>
        <w:trPr>
          <w:trHeight w:val="1126"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A2200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E14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313E3E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1DA2EB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1.最大负载功率：20KW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w:t>
            </w:r>
            <w:bookmarkStart w:id="30" w:name="OLE_LINK47"/>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；有RJ45、RS485接口，</w:t>
            </w:r>
            <w:bookmarkEnd w:id="30"/>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30EDF1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36844D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F899E9A">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6DF0504D">
        <w:tblPrEx>
          <w:tblCellMar>
            <w:top w:w="0" w:type="dxa"/>
            <w:left w:w="108" w:type="dxa"/>
            <w:bottom w:w="0" w:type="dxa"/>
            <w:right w:w="108" w:type="dxa"/>
          </w:tblCellMar>
        </w:tblPrEx>
        <w:trPr>
          <w:trHeight w:val="31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58F9A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11</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9E562">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4611C6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EC4481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DDR4高速内存；不小于250G固态硬盘；（</w:t>
            </w:r>
            <w:bookmarkStart w:id="31" w:name="OLE_LINK36"/>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投标人须提供书面承诺</w:t>
            </w:r>
            <w:bookmarkEnd w:id="31"/>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4.支持在媒体库中添加本地文件、本地文件夹、字幕、</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NDI媒体、</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数字时钟、流媒体、传感器、采集设备、网站、媒体合集；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1AE10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9EB8E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567FC91">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89D6DC3">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5EA6E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98F63">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5BEA0B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BA63D1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808100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E0993C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42B863C">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056B8F8">
        <w:tblPrEx>
          <w:tblCellMar>
            <w:top w:w="0" w:type="dxa"/>
            <w:left w:w="108" w:type="dxa"/>
            <w:bottom w:w="0" w:type="dxa"/>
            <w:right w:w="108" w:type="dxa"/>
          </w:tblCellMar>
        </w:tblPrEx>
        <w:trPr>
          <w:trHeight w:val="9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CB8A0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13</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CDFD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总规沙盘</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AF9E9B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P3</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A3FC67C">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1.中间屏幕尺寸：30.4m*</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8.48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m（含压铸金属箱体）</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2.左屏幕尺寸：9.92m*</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9.6</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m（含压铸金属箱体）（异形屏，具体尺寸见图纸）</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3.右屏幕尺寸：9.92m*</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9.6</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m（含压铸金属箱体）（异形屏，具体尺寸见图纸）</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4.地面屏幕尺寸：30.4m*18.88m（含压铸金属箱体）</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★5.显示屏类型：封装方式采用SMD 三合一封装，点间距≤3.1mm，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10.显示屏白场色品坐标：依据SJ/T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11.使用寿命≥100000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12.灯驱合一，多层电路板设计，PCB焊盘采用沉金工艺处理；                                                                                                                                                                                                     </w:t>
            </w:r>
          </w:p>
          <w:p w14:paraId="337DC21E">
            <w:pPr>
              <w:widowControl/>
              <w:spacing w:line="360" w:lineRule="auto"/>
              <w:jc w:val="left"/>
              <w:textAlignment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1</w:t>
            </w:r>
            <w:r>
              <w:rPr>
                <w:rFonts w:hint="default" w:asciiTheme="minorEastAsia" w:hAnsiTheme="minorEastAsia" w:eastAsiaTheme="minorEastAsia" w:cstheme="minorEastAsia"/>
                <w:b/>
                <w:bCs/>
                <w:color w:val="000000" w:themeColor="text1"/>
                <w:sz w:val="24"/>
                <w:szCs w:val="24"/>
                <w14:textFill>
                  <w14:solidFill>
                    <w14:schemeClr w14:val="tx1"/>
                  </w14:solidFill>
                </w14:textFill>
              </w:rPr>
              <w:t>3</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.含二合一拼控处理器至屏体的六类网线及其管线。</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FD9C69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E2F72E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1012.99</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4889208E">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4C54C66E">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E7EC3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6020F">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ADEE08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4EDE26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依据设计需求与现场环境定制，钢结构制作多层后维护通道</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8457B3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BEF710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1012.99</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B06502B">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DD5D998">
        <w:tblPrEx>
          <w:tblCellMar>
            <w:top w:w="0" w:type="dxa"/>
            <w:left w:w="108" w:type="dxa"/>
            <w:bottom w:w="0" w:type="dxa"/>
            <w:right w:w="108" w:type="dxa"/>
          </w:tblCellMar>
        </w:tblPrEx>
        <w:trPr>
          <w:trHeight w:val="356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CBFDF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302AB">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0C40BC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LED视频拼接处理器</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206DD4F">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设备采用标准机架式金属结构机箱，单台设备总线带宽可达4160Gbps，实现超高清画质展示；设备前面板内置不小于7英寸触摸屏；单张输出卡不少于16个图层输出，跨接口不减图层，支持图像任意开窗、叠加、漫游、无极缩放；支持图层参数设置、图层翻转、图层锁定、图层冻结等；</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2.配备不少于16张2路HDMI2.0+2路DP1.2输入卡（32路4K）、10张20路网口输出卡；（投标人须提供书面承诺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p>
          <w:p w14:paraId="23B7DD31">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3.提供</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至少</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1张2路HDMI2.0+2路DP1.2输入卡（2路4K）和</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至少</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1张20路网口输出卡备用；</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4.设备</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可</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支持以下7种规格输入输出板卡：①单卡HDMI2.1+DP1.4视频输入接口，②单卡8路HDMI1.3输入接口；③单卡16网口+2光口发送卡、④单卡20网口发送卡、⑤单卡4光口二合一输出板卡、⑥单卡4路HDMI+4路3.5mm音频输入接口、⑦单卡4路凤凰端子音频输入+4路凤凰端子音频输出接口； </w:t>
            </w:r>
          </w:p>
          <w:p w14:paraId="46549354">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5.中控子卡单卡</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至少</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支持COM、REALY、IR、I/O、CAN、USB、Ethernet等类型控制接口； </w:t>
            </w:r>
          </w:p>
          <w:p w14:paraId="14B6BE54">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6.输出支持90度倍数旋转和水平、垂直镜像功能，无需依靠显卡和软件的特殊设置，满足横拼和竖拼混合拼接、大小屏拼接、不规则拼接组合等，满足点对点显示的创意拼接场景，画面无拉伸变形；</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7.支持HDR功能、10Bit输入输出；支持RGB4:4:4、YCbCr4:4:4格式视频图像处理；支持3D立体显示功能，实现沉浸式展示，支持XR场景控制应用；</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8.支持对账户登录验证规则、密码复杂程度规则、会话活跃时长规则以及账户登录权限规则的自定义；用户可根据实际情况按需配置期望的安全验证规则；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9.设备支持全链路备份功能，可基于设备板卡、接口等实现主备的无感切换，支持LED二合一拼接发送卡间备份；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10.为了提升设备的故障排查效率，可监测设备输入输出板卡、接口、电源、 风扇实时状态,支持设备在线自检，包括但不限于设备运行情况、CPU、内存情况、温度等，支持主动报警、颜色告警等智能运维； </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8E097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CE22C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D6A5405">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A1F743B">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0B8F9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4F45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BD1E1D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100KW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67F493F">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1.最大负载功率：100KW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p w14:paraId="798288E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10.外壳防护等级：依据GB/T 4208-2017标准，符合IP2X等级</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FB6655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81CDE7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2262F6C">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A2814CF">
        <w:tblPrEx>
          <w:tblCellMar>
            <w:top w:w="0" w:type="dxa"/>
            <w:left w:w="108" w:type="dxa"/>
            <w:bottom w:w="0" w:type="dxa"/>
            <w:right w:w="108" w:type="dxa"/>
          </w:tblCellMar>
        </w:tblPrEx>
        <w:trPr>
          <w:trHeight w:val="2402"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DC827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17</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21535">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F02388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多媒体播控终端四</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124A1C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1.设备采用标准机架式金属结构机箱；设备出厂配置不低于：2*英特尔至强处理器、128G DDR4 高速内存（支持最大可扩容至1024GB）；不小于4T固态硬盘（最大可扩容至12T）；（投标人须提供书面承诺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2.单设备不少于独立的16路DP输出，单接口分辨率可设置为5120×2880@60Hz，单接口极限宽度可设置为 8192，单口极限高度可设置 8192。支持单设备16接口配合同步卡拼接同步显示，拼接带载分辨率可设置为16384*8640@60Hz，可支持 4个 8K@60fps或 16个4K@60fps视频硬件解码播放，画面正常显示、所有画面均无卡顿，丢帧现象，视频播放的帧率不小于 60帧；</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3.支持一键硬件开关机控制和一键软件远程开关机控制，支持不少于支持64图层分配，支持可扩展至无上限；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4.支持凤凰端子直接连接中控设备，整机不低于10路 USB接口；不低于7路 PCIE 3.0插槽；支持PS/2安全接口用于连接鼠标键盘；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5.支持任意一台设备作为超级管理端，可以局域网内其他同系列设备进行超级管理，支持同时控制多个播放端进行节目切换、暂停、停止等操作；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6.支持对视频文件按照独有的格式进行加密，只有在授权密码校验通过后且在有效设定时间（如3个月）内才能正常播放； </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378C2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B01A6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72390E9">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3416DB1">
        <w:tblPrEx>
          <w:tblCellMar>
            <w:top w:w="0" w:type="dxa"/>
            <w:left w:w="108" w:type="dxa"/>
            <w:bottom w:w="0" w:type="dxa"/>
            <w:right w:w="108" w:type="dxa"/>
          </w:tblCellMar>
        </w:tblPrEx>
        <w:trPr>
          <w:trHeight w:val="819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5C4D1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09D74">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1E6FEE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超高分辨率同步播放软件二</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31D94D2">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节目播放、暂停、切换、停止播放，支持快捷键播放，支持媒体模糊、抠像、遮罩、循环滚动、三维贴图设置，支持将任意图片或视频素材映射至不规则显示屏，支持对媒体亮度，对比度，饱和度，色相，色温/色调，RGB曲线进行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时间线管理，基于时间线进行播放内容的编排播放和外部控制，实现多媒体服务器与第三方设备的联动控制，支持多通道音频，实现多个媒体素材的音频独立输出；支持CUE添加，可通过CUE表管理一键完成时间线跳转，用户还可以定义CUE标签注释，方便快速查看标签释义；</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3.支持通过三维Mapping功能，可以快速实现基于最佳观赏视角的沉浸式效果，比如外视角、内视角、边缘视角；</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4.支持联机帧同步播放，多台设备无缝拼接，持续播放无撕裂，画面延迟＜1帧，支持 1个主机控制全部从机，设备数量不少于4台，进行节目编排和素材同步管理；支持输出热备份，保证切换播放画面实时帧同步无卡顿，可一键交换主端备端；支持将自动将局域网内其他电脑的素材共享到此设备进行素材管理和播放；单机支持多个同规格媒体分组帧同步的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播放画面编辑和输出分离，预览编辑完成后再输出播放；切换效果支持直切、淡入淡出、渐变黑屏，支持测试画面和输出显示控制；从本地媒体画面或输入源画面中拾取颜色，然后按照拾取的颜色进行抠像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6.节目中支持添加媒体库中的所有媒体类型，所有节目中媒体可按媒体类别，调整画质调节、曲线调节、色温调节、多声道映射、裁剪，遮罩；</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7.内置显卡调试助手，支持多显卡分辨率设置、EDID管理、接口MOSAIC，并可查看显卡信息并进行管理；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支持通过可视化控制平台软件或者中控设备对播放画面进行远程编辑和控制；支持通过StreamDeck控制、中控指令控制等，第三方设备控制多媒体服务器，支持切换台进行联动；支持中控功能，支持对屏幕内容、亮度、电源、音频、窗帘、灯光的集中控制；支持播放画面上下、左右镜像操作，满足对称屏幕相同画面上下或左右对称；</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9.支持接口虚拟功能检验输出接口虚拟放大和缩小，方便点对点开窗；支持输出接口标记，快速定位输出接口的位置，支持创建多个屏幕，基于每个屏幕编辑节目和媒体，每个屏幕可以独立播放，互不影响；</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10.软件自带转码工具，支持对视频的编码，码率，帧率，分辨率等参数进行转码修改转为需要的格式；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11.支持超8K网页跨屏幕流畅播放，以及超8K网页远程反控网页操作；支持网页多页签播放；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12.支持移动平板APP可视化控制，素材可视化实时回显，支持与视频拼接器，音频处理器，中控，异步系统等统一管控，一平台操作；</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13.支持接入Deepseek和联网搜索，可通过AI问答帮助用户快速生成图片，并可根据用户提问来回答播控软件怎么使用；                                                  </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1E61D0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AC658D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3F8DBEC">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CEFC0E3">
        <w:tblPrEx>
          <w:tblCellMar>
            <w:top w:w="0" w:type="dxa"/>
            <w:left w:w="108" w:type="dxa"/>
            <w:bottom w:w="0" w:type="dxa"/>
            <w:right w:w="108" w:type="dxa"/>
          </w:tblCellMar>
        </w:tblPrEx>
        <w:trPr>
          <w:trHeight w:val="33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D7C16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19</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393B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前言</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D78BC9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F9E605B">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1.屏幕尺寸：不小于12.48m*3.68m=45.93㎡</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9.灯驱合一，多层电路板设计，PCB焊盘采用沉金工艺处理</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7E7A04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2A6D10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45.93</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937DE08">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3AEE4163">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6C453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552DF">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306F87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625F994">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CAD9F6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78460A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45.93</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5BD2C52">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9B0719B">
        <w:tblPrEx>
          <w:tblCellMar>
            <w:top w:w="0" w:type="dxa"/>
            <w:left w:w="108" w:type="dxa"/>
            <w:bottom w:w="0" w:type="dxa"/>
            <w:right w:w="108" w:type="dxa"/>
          </w:tblCellMar>
        </w:tblPrEx>
        <w:trPr>
          <w:trHeight w:val="701"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3D49E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21</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43AE2">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647DB5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二合一拼控处理器（32网口）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D3451F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1.输入接口包括2路HDMI2.0,1路DP1.2+HDMI2.0二选一,4路HDMI13,1路USB3.0,支持选配1路3G-SDI(IN+LOOP)，最大支持3路4K@60HZ信号同时输入；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2.视频输出支持32个千兆网口输出，4路10G-OPT光口，最大带载高达2080万像素，最宽支持16384,最高8192；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3.最大可支持12个2K图层或6个4K*1K图层或3个4K图层，全部图层大小和位置可单独调节。4K接口输入2K信号，按2K图层计算图层资源；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075D94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CB3CBA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A27C2DD">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6053F187">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A2F18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0B86">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7728BD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10EF7837">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1.最大负载功率：50KW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w:t>
            </w:r>
            <w:bookmarkStart w:id="32" w:name="OLE_LINK48"/>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；有RJ45、RS485接口，</w:t>
            </w:r>
            <w:bookmarkEnd w:id="32"/>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186F86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1EE784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747CCB8">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AB62FCB">
        <w:tblPrEx>
          <w:tblCellMar>
            <w:top w:w="0" w:type="dxa"/>
            <w:left w:w="108" w:type="dxa"/>
            <w:bottom w:w="0" w:type="dxa"/>
            <w:right w:w="108" w:type="dxa"/>
          </w:tblCellMar>
        </w:tblPrEx>
        <w:trPr>
          <w:trHeight w:val="40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A07CB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23</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C58D5">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DABEC5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多媒体播控终端二</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2D4EBD0">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1.设备采用标准机架式金属结构机箱；设备出厂配置不低于：酷睿I5处理器、16G DDR4 高速内存；不小于500G固态硬盘；（投标人须提供书面承诺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2.不少于独立的1路DP与2路HDMI输出，接口分辨率可设置为 4096*2160@60Hz，单接口极限宽度可设置为8192，单接口极限高度可设置 8192，单设备的两路接口支持拼接同步显示，拼接带载分辨率可设置为 8192*2160@60Hz；出厂配置的显卡可满足至少1个8K2K或2个4K2K 硬件解码播放，且播放流畅不卡顿；</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 3D 视频源解码播放输出，可实现单接口独立3D播放输出或两路接口拼接3D同步输出，分辨率可设置为 3840x1080@120Hz；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4.一键硬件开关机控制和一键软件远程开关机控制，整机自带 6路 USB 接口。不少于1路 3.5mm 麦克风音频输入接口、1路 3.5mm 外置音频输入接口、1路 3.5mm 音频输出接口。支持不少于 2路 PCIEX1 插槽，支持千兆网口通讯，可支持第三方通过 TCP、 UDP 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5.支持不少于3个输出接口的任意拆分重组以及任意角度旋转，支持预编辑输出，可在预览编辑完成后再进行媒体素材的一键输出播放；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DE7BF2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2C2B58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DE3E3E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ED4DCB7">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3E11B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4A7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2DC646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6E1FBAA">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CD664F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98DA0A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C217587">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642CE22">
        <w:tblPrEx>
          <w:tblCellMar>
            <w:top w:w="0" w:type="dxa"/>
            <w:left w:w="108" w:type="dxa"/>
            <w:bottom w:w="0" w:type="dxa"/>
            <w:right w:w="108" w:type="dxa"/>
          </w:tblCellMar>
        </w:tblPrEx>
        <w:trPr>
          <w:trHeight w:val="450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C0012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25</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6B5C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根本遵循</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1F04A9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P1.2柔性</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DBE85DA">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1.12m</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4.16m=4.66</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*2=9.32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㎡（含弧形金属箱体）</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三合一封装，点间距≤1.26mm，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3.模组底壳采用硅胶材质底壳</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4.亮度≥</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00cd/㎡；亮度均匀性≥9</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6.每平米最大功耗≤</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0W/㎡，每平米平均功耗≤1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7.模组平整度：≤0.1mm，模组拼装精度：≤0.1mm，模组间隙≤0.1mm；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.具有亮度/对比度/色度调节/视觉修正灯图像调整图像处理功能；视频降噪、动态补偿，色彩变换等图像处理功能；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.产品模组供电和控制集成一体化，电源、信号采用一个type-c接口一线传输，电源信号具有盲插功能，无需区分方向； </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5681EC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1D0107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asciiTheme="minorEastAsia" w:hAnsiTheme="minorEastAsia" w:eastAsiaTheme="minorEastAsia" w:cstheme="minorEastAsia"/>
                <w:color w:val="000000" w:themeColor="text1"/>
                <w:kern w:val="0"/>
                <w:sz w:val="24"/>
                <w:szCs w:val="24"/>
                <w:lang w:bidi="ar"/>
                <w14:textFill>
                  <w14:solidFill>
                    <w14:schemeClr w14:val="tx1"/>
                  </w14:solidFill>
                </w14:textFill>
              </w:rPr>
              <w:t>9.32</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D9EDD6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7C831D67">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42C23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422D1">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72180A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06D752B">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34668F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C5B506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9.32</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467A9B5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F75AD68">
        <w:tblPrEx>
          <w:tblCellMar>
            <w:top w:w="0" w:type="dxa"/>
            <w:left w:w="108" w:type="dxa"/>
            <w:bottom w:w="0" w:type="dxa"/>
            <w:right w:w="108" w:type="dxa"/>
          </w:tblCellMar>
        </w:tblPrEx>
        <w:trPr>
          <w:trHeight w:val="183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908A5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27</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A1F60">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8241A2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二合一拼控处理器（6网口）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BFE5F1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1.输入接口包括1路HDMI2.0+LOOP,2路HDMI1.3，1路USB3.0，支持选配1路3G-SDI（IN+LOOP），最大支持4096*2160@60HZ信号输入；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2.视频输出支持6个千兆网口输出，1路10G-OPT光口，最大带载高达390万像素，最宽支持10240,最高8192；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3.最大可支持6个2K图层或1个4K图层+2个2K图层，全部图层大小和位置可单独调节。4K接口输入2K信号，按2K图层计算图层资源；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5.支持U盘即插即播功能，最大支持4K级（3840*2160@60fps）图片和视频的流畅播放，播放列表及切换效果支持自定义编排，最多支持20余种图片切换特效；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6B0B15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2CD631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7D0D1BE7">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58DFC51">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BA382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5A758">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37197A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51C45C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1.最大负载功率：10KW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63F307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44418C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B8C58FD">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4564E3B2">
        <w:tblPrEx>
          <w:tblCellMar>
            <w:top w:w="0" w:type="dxa"/>
            <w:left w:w="108" w:type="dxa"/>
            <w:bottom w:w="0" w:type="dxa"/>
            <w:right w:w="108" w:type="dxa"/>
          </w:tblCellMar>
        </w:tblPrEx>
        <w:trPr>
          <w:trHeight w:val="2828"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2AD73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29</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0AF05">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343256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20D546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 高速内存；不小于250G固态硬盘；（投标人须提供书面承诺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4.支持在媒体库中添加本地文件、本地文件夹、字幕、NDI媒体、数字时钟、流媒体、传感器、采集设备、网站、媒体合集；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51D67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8C05E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0FAC221">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6A61DEC9">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016E5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F532A">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189B4B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C6ED3C8">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3EBF19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970194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4A6BA1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B9C13F1">
        <w:tblPrEx>
          <w:tblCellMar>
            <w:top w:w="0" w:type="dxa"/>
            <w:left w:w="108" w:type="dxa"/>
            <w:bottom w:w="0" w:type="dxa"/>
            <w:right w:w="108" w:type="dxa"/>
          </w:tblCellMar>
        </w:tblPrEx>
        <w:trPr>
          <w:trHeight w:val="2686"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10ED8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31</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F324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时代背景</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9C06A6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B842A30">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1.屏幕尺寸：不小于13.44m×1.92m=25.81㎡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9.灯驱合一，多层电路板设计，PCB焊盘采用沉金工艺处理；                                                                                                                                                                                                       </w:t>
            </w:r>
          </w:p>
          <w:p w14:paraId="68C8F022">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default" w:asciiTheme="minorEastAsia" w:hAnsiTheme="minorEastAsia" w:eastAsiaTheme="minorEastAsia" w:cstheme="minorEastAsia"/>
                <w:color w:val="000000" w:themeColor="text1"/>
                <w:sz w:val="24"/>
                <w:szCs w:val="24"/>
                <w14:textFill>
                  <w14:solidFill>
                    <w14:schemeClr w14:val="tx1"/>
                  </w14:solidFill>
                </w14:textFill>
              </w:rPr>
              <w:t>0</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.模组采用卡扣式后盖，无需使用工具即可拆卸； </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41262C8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F4599E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25.81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A90EEB8">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0A6D0AB4">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F1412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841CF">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D9F5CB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B084223">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0B3967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3B404A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25.81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77F711B">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F76A1E3">
        <w:tblPrEx>
          <w:tblCellMar>
            <w:top w:w="0" w:type="dxa"/>
            <w:left w:w="108" w:type="dxa"/>
            <w:bottom w:w="0" w:type="dxa"/>
            <w:right w:w="108" w:type="dxa"/>
          </w:tblCellMar>
        </w:tblPrEx>
        <w:trPr>
          <w:trHeight w:val="24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3AFE2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33</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E854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2C1229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二合一拼控处理器（24网口）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172FCBD">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1.输入接口包括2路HDMI2.0,1路DP1.2+HDMI2.0二选一,4路HDMI13,1路USB3.0,支持选配1路3G-SDI(IN+LOOP)，最大支持3路4K@60HZ信号同时输入；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2.视频输出支持24个千兆网口输出，4路10G-OPT光口，最大带载高达1560万像素，最宽支持16384,最高8192；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3.最大可支持12个2K图层或6个4K*1K图层或3个4K图层，全部图层大小和位置可单独调节。4K接口输入2K信号，按2K图层计算图层资源；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96CD18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33D89B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107F50A">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41ADC3FC">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EDE5A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C629A">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DEE557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DE77D75">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1.最大负载功率：30KW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9A8663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5CCDD7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E6C99B6">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7554912">
        <w:tblPrEx>
          <w:tblCellMar>
            <w:top w:w="0" w:type="dxa"/>
            <w:left w:w="108" w:type="dxa"/>
            <w:bottom w:w="0" w:type="dxa"/>
            <w:right w:w="108" w:type="dxa"/>
          </w:tblCellMar>
        </w:tblPrEx>
        <w:trPr>
          <w:trHeight w:val="701"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708BF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35</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CC65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D92EF3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多媒体播控终端二</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1F01250C">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1.设备采用标准机架式金属结构机箱；设备出厂配置不低于：酷睿I5处理器、16G DDR4 高速内存；不小于500G固态硬盘；（投标人须提供书面承诺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2.不少于独立的1路DP与2路HDMI输出，接口分辨率可设置为 4096*2160@60Hz，单接口极限宽度可设置为8192，单接口极限高度可设置 8192，单设备的两路接口支持拼接同步显示，拼接带载分辨率可设置为 8192*2160@60Hz；出厂配置的显卡可满足至少1个8K2K或2个4K2K 硬件解码播放，且播放流畅不卡顿；</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 3D 视频源解码播放输出，可实现单接口独立3D播放输出或两路接口拼接3D同步输出，分辨率可设置为 3840x1080@120Hz；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4.一键硬件开关机控制和一键软件远程开关机控制，整机自带 6路 USB 接口。不少于1路 3.5mm 麦克风音频输入接口、1路 3.5mm 外置音频输入接口、1路 3.5mm 音频输出接口。支持不少于 2路 PCIEX1 插槽，支持千兆网口通讯，可支持第三方通过 TCP、 UDP 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5.支持不少于3个输出接口的任意拆分重组以及任意角度旋转，支持预编辑输出，可在预览编辑完成后再进行媒体素材的一键输出播放；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D36E0D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C48399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8B21119">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C033A7D">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1B3FF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2A2B2">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CAA128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EC50A90">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40158B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5A26BA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CC03B9D">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C5AD700">
        <w:tblPrEx>
          <w:tblCellMar>
            <w:top w:w="0" w:type="dxa"/>
            <w:left w:w="108" w:type="dxa"/>
            <w:bottom w:w="0" w:type="dxa"/>
            <w:right w:w="108" w:type="dxa"/>
          </w:tblCellMar>
        </w:tblPrEx>
        <w:trPr>
          <w:trHeight w:val="843"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D5CAA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37</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129A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擎画蓝图</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8CDFBD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2F81A6D">
            <w:pPr>
              <w:widowControl/>
              <w:numPr>
                <w:ilvl w:val="0"/>
                <w:numId w:val="3"/>
              </w:numPr>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屏幕尺寸：不小于5.12m×3.36m=17.21㎡；</w:t>
            </w:r>
          </w:p>
          <w:p w14:paraId="29BDD63D">
            <w:pPr>
              <w:widowControl/>
              <w:numPr>
                <w:ilvl w:val="255"/>
                <w:numId w:val="0"/>
              </w:numPr>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≥3840Hz；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9.灯驱合一，多层电路板设计，PCB焊盘采用沉金工艺处理；                                                                                                                                                                                                        </w:t>
            </w:r>
          </w:p>
          <w:p w14:paraId="47A1EF0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r>
              <w:rPr>
                <w:rFonts w:hint="default" w:asciiTheme="minorEastAsia" w:hAnsiTheme="minorEastAsia" w:eastAsiaTheme="minorEastAsia" w:cstheme="minorEastAsia"/>
                <w:color w:val="000000" w:themeColor="text1"/>
                <w:sz w:val="24"/>
                <w:szCs w:val="24"/>
                <w14:textFill>
                  <w14:solidFill>
                    <w14:schemeClr w14:val="tx1"/>
                  </w14:solidFill>
                </w14:textFill>
              </w:rPr>
              <w:t>0</w:t>
            </w:r>
            <w:r>
              <w:rPr>
                <w:rFonts w:hint="eastAsia" w:asciiTheme="minorEastAsia" w:hAnsiTheme="minorEastAsia" w:eastAsiaTheme="minorEastAsia" w:cstheme="minorEastAsia"/>
                <w:color w:val="000000" w:themeColor="text1"/>
                <w:sz w:val="24"/>
                <w:szCs w:val="24"/>
                <w14:textFill>
                  <w14:solidFill>
                    <w14:schemeClr w14:val="tx1"/>
                  </w14:solidFill>
                </w14:textFill>
              </w:rPr>
              <w:t>.模组采用卡扣式后盖，无需使用工具即可拆卸；</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BD0EF5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646890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17.21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8BFFF50">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18DB376D">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3EA34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C759">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763197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1ED36BC">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5FDF59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81013A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17.21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76FB2426">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4A96BC2">
        <w:tblPrEx>
          <w:tblCellMar>
            <w:top w:w="0" w:type="dxa"/>
            <w:left w:w="108" w:type="dxa"/>
            <w:bottom w:w="0" w:type="dxa"/>
            <w:right w:w="108" w:type="dxa"/>
          </w:tblCellMar>
        </w:tblPrEx>
        <w:trPr>
          <w:trHeight w:val="24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52580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39</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B2B54">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BA1C17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二合一拼控处理器（8网口）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2C1F69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1.输入接口包括1路HDMI2.0+LOOP,2路HDMI1.3，1路USB3.0，支持选配1路3G-SDI（IN+LOOP），最大支持4096*2160@60HZ信号输入；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2.视频输出支持8个千兆网口输出，1路10G-OPT光口，最大带载高达520万像素，最宽支持10240,最高8192；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3.最大可支持6个2K图层或1个4K图层+2个2K图层，全部图层大小和位置可单独调节。4K接口输入2K信号，按2K图层计算图层资源；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5.支持U盘即插即播功能，最大支持4K级（3840*2160@60fps）图片和视频的流畅播放，播放列表及切换效果支持自定义编排，最多支持20余种图片切换特效；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CD8FEF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D1978D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32A66B0">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1CDB6CF">
        <w:tblPrEx>
          <w:tblCellMar>
            <w:top w:w="0" w:type="dxa"/>
            <w:left w:w="108" w:type="dxa"/>
            <w:bottom w:w="0" w:type="dxa"/>
            <w:right w:w="108" w:type="dxa"/>
          </w:tblCellMar>
        </w:tblPrEx>
        <w:trPr>
          <w:trHeight w:val="98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D5A1F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2BDBD">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D7260B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897894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1.最大负载功率：20KW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31FE0D2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05F32E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79E19CC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4E14B5D1">
        <w:tblPrEx>
          <w:tblCellMar>
            <w:top w:w="0" w:type="dxa"/>
            <w:left w:w="108" w:type="dxa"/>
            <w:bottom w:w="0" w:type="dxa"/>
            <w:right w:w="108" w:type="dxa"/>
          </w:tblCellMar>
        </w:tblPrEx>
        <w:trPr>
          <w:trHeight w:val="31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73D96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41</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A962B">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D7C87D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62A9834">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 高速内存；不小于250G固态硬盘；（投标人须提供书面承诺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4.支持在媒体库中添加本地文件、本地文件夹、字幕、NDI媒体、数字时钟、流媒体、传感器、采集设备、网站、媒体合集； 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21B27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A07A0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166401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6650F495">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10E9C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CC060">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04784F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EA87864">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061981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68D74EE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7BFA3D87">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768285A">
        <w:tblPrEx>
          <w:tblCellMar>
            <w:top w:w="0" w:type="dxa"/>
            <w:left w:w="108" w:type="dxa"/>
            <w:bottom w:w="0" w:type="dxa"/>
            <w:right w:w="108" w:type="dxa"/>
          </w:tblCellMar>
        </w:tblPrEx>
        <w:trPr>
          <w:trHeight w:val="1408"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C5ACD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43</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57F2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科技创新</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06E824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FBABFA5">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1.屏幕尺寸：不小于5.12m×3.04m=15.57㎡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9.灯驱合一，多层电路板设计，PCB焊盘采用沉金工艺处理；                                                                                                                                                                                                       </w:t>
            </w:r>
          </w:p>
          <w:p w14:paraId="440EA8B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.模组采用卡扣式后盖，无需使用工具即可拆卸；（须提供模组安装了卡扣式后盖的照片，或者模组产品规格书作为佐证）</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414DC5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325EB2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15.57</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4ED7B52B">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2A1CB3D8">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F25C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BD02B">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AE3556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DB1890A">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0C271B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F4C3B8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15.57</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874E7F5">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AA3EF7D">
        <w:tblPrEx>
          <w:tblCellMar>
            <w:top w:w="0" w:type="dxa"/>
            <w:left w:w="108" w:type="dxa"/>
            <w:bottom w:w="0" w:type="dxa"/>
            <w:right w:w="108" w:type="dxa"/>
          </w:tblCellMar>
        </w:tblPrEx>
        <w:trPr>
          <w:trHeight w:val="276"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F4EA2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45</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86E22">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E88C1A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二合一拼控处理器（12网口）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7DB8DF0">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1.输入接口包括1路HDMI2.0+LOOP,2路HDMI1.3，1路USB3.0，支持选配1路3G-SDI（IN+LOOP），最大支持4096*2160@60HZ信号输入；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2.视频输出支持12个千兆网口输出，2路10G-OPT光口，最大带载高达780万像素，最宽支持10240,最高8192；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3.最大可支持6个2K图层或1个4K图层+2个2K图层，全部图层大小和位置可单独调节。4K接口输入2K信号，按2K图层计算图层资源；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5.支持U盘即插即播功能，最大支持4K级（3840*2160@60fps）图片和视频的流畅播放，播放列表及切换效果支持自定义编排，最多支持20余种图片切换特效；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2D5211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0A29C4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D55732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CEE15E0">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D9B2A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84333">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A406A3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526225E">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1.最大负载功率：20KW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3C4053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639BB27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E26C719">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74718EB">
        <w:tblPrEx>
          <w:tblCellMar>
            <w:top w:w="0" w:type="dxa"/>
            <w:left w:w="108" w:type="dxa"/>
            <w:bottom w:w="0" w:type="dxa"/>
            <w:right w:w="108" w:type="dxa"/>
          </w:tblCellMar>
        </w:tblPrEx>
        <w:trPr>
          <w:trHeight w:val="124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1797B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47</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C7037">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5844E9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D1A511C">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 高速内存；不小于250G固态硬盘；（投标人须提供书面承诺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4.支持在媒体库中添加本地文件、本地文件夹、字幕、NDI媒体、数字时钟、流媒体、传感器、采集设备、网站、媒体合集；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EC485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AD8B6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C9D83E2">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2E88D5D">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D1333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671B9">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BF614C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9ECB357">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7F8E43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848998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C822D4D">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45F2659">
        <w:tblPrEx>
          <w:tblCellMar>
            <w:top w:w="0" w:type="dxa"/>
            <w:left w:w="108" w:type="dxa"/>
            <w:bottom w:w="0" w:type="dxa"/>
            <w:right w:w="108" w:type="dxa"/>
          </w:tblCellMar>
        </w:tblPrEx>
        <w:trPr>
          <w:trHeight w:val="274"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1E568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49</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9758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宏图变胜景</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88D966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P1.8柔性</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F368FF7">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1.屏幕尺寸：不小于3.2m×4.8m=15.36㎡（含弧形金属箱体）</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≥3840HZ；须提供书面承诺函（格式自拟）并加盖公章，否则作无效投标处理。</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3.模组底壳采用硅胶材质底壳</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4.亮度≥</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00cd/㎡；亮度均匀性≥9</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6.每平米最大功耗≤</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0W/㎡，每平米平均功耗≤1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7.模组平整度：≤0.1mm，模组拼装精度：≤0.1mm，模组间隙≤0.1mm；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.具有亮度/对比度/色度调节/视觉修正灯图像调整图像处理功能；视频降噪、动态补偿，色彩变换等图像处理功能；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.产品模组供电和控制集成一体化，电源、信号采用一个type-c接口一线传输，电源信号具有盲插功能，无需区分方向； </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C46168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6DF656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15.36</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BD9998F">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79A615ED">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9C42E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636F5">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285808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177A8694">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6EB635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613818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15.36</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127CA59">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697F2EF">
        <w:tblPrEx>
          <w:tblCellMar>
            <w:top w:w="0" w:type="dxa"/>
            <w:left w:w="108" w:type="dxa"/>
            <w:bottom w:w="0" w:type="dxa"/>
            <w:right w:w="108" w:type="dxa"/>
          </w:tblCellMar>
        </w:tblPrEx>
        <w:trPr>
          <w:trHeight w:val="24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CD30A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51</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3605">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0942B1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二合一拼控处理器（10网口）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FC5C04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1.输入接口包括1路HDMI2.0+LOOP,2路HDMI1.3，1路USB3.0，支持选配1路3G-SDI（IN+LOOP），最大支持4096*2160@60HZ信号输入；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2.视频输出支持10个千兆网口输出，1路10G-OPT光口，最大带载高达650万像素，最宽支持10240,最高8192；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3.最大可支持6个2K图层或1个4K图层+2个2K图层，全部图层大小和位置可单独调节。4K接口输入2K信号，按2K图层计算图层资源；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5.支持U盘即插即播功能，最大支持4K级（3840*2160@60fps）图片和视频的流畅播放，播放列表及切换效果支持自定义编排，最多支持20余种图片切换特效；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27321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0B4A0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F6333F8">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8E1F3E9">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5B203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13814">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A2F322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62338CD">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1.最大负载功率：20KW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D1134E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83A306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429707BA">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836B095">
        <w:tblPrEx>
          <w:tblCellMar>
            <w:top w:w="0" w:type="dxa"/>
            <w:left w:w="108" w:type="dxa"/>
            <w:bottom w:w="0" w:type="dxa"/>
            <w:right w:w="108" w:type="dxa"/>
          </w:tblCellMar>
        </w:tblPrEx>
        <w:trPr>
          <w:trHeight w:val="31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D6915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53</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115CF">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AAAAE1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2AE51C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 高速内存；不小于250G固态硬盘；（投标人须提供书面承诺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4.支持在媒体库中添加本地文件、本地文件夹、字幕、NDI媒体、数字时钟、流媒体、传感器、采集设备、网站、媒体合集；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471EA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4F321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5719384">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B867C5E">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E77FA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C6F8E">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39BADA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46CA858">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45CC034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B79B7D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4C3476A">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4087BA7">
        <w:tblPrEx>
          <w:tblCellMar>
            <w:top w:w="0" w:type="dxa"/>
            <w:left w:w="108" w:type="dxa"/>
            <w:bottom w:w="0" w:type="dxa"/>
            <w:right w:w="108" w:type="dxa"/>
          </w:tblCellMar>
        </w:tblPrEx>
        <w:trPr>
          <w:trHeight w:val="983"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3839D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55</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0BAB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旧貌新颜</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058775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P1.5</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43E62973">
            <w:pPr>
              <w:widowControl/>
              <w:numPr>
                <w:ilvl w:val="0"/>
                <w:numId w:val="4"/>
              </w:numPr>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屏幕尺寸：不小于7.36m×2.08m=15.31㎡；</w:t>
            </w:r>
          </w:p>
          <w:p w14:paraId="0E10B2E1">
            <w:pPr>
              <w:widowControl/>
              <w:numPr>
                <w:ilvl w:val="255"/>
                <w:numId w:val="0"/>
              </w:numPr>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≥3840Hz；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9.灯驱合一，多层电路板设计，PCB焊盘采用沉金工艺处理；                                                                                                                                                                                                       </w:t>
            </w:r>
          </w:p>
          <w:p w14:paraId="75F94B9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40E4FAB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61CE2FA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15.31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3126D7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7B414B8B">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056DA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EAED1">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B8FEE1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BC6B7F5">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F12B02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51B20A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15.31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272F34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2070884">
        <w:tblPrEx>
          <w:tblCellMar>
            <w:top w:w="0" w:type="dxa"/>
            <w:left w:w="108" w:type="dxa"/>
            <w:bottom w:w="0" w:type="dxa"/>
            <w:right w:w="108" w:type="dxa"/>
          </w:tblCellMar>
        </w:tblPrEx>
        <w:trPr>
          <w:trHeight w:val="98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DDA9B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57</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03644">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805CFA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二合一拼控处理器（12网口）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EC3DF9A">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1.输入接口包括1路HDMI2.0+LOOP,2路HDMI1.3，1路USB3.0，支持选配1路3G-SDI（IN+LOOP），最大支持4096*2160@60HZ信号输入；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2.视频输出支持12个千兆网口输出，2路10G-OPT光口，最大带载高达780万像素，最宽支持10240,最高8192；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3.最大可支持6个2K图层或1个4K图层+2个2K图层，全部图层大小和位置可单独调节。4K接口输入2K信号，按2K图层计算图层资源；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5.支持U盘即插即播功能，最大支持4K级（3840*2160@60fps）图片和视频的流畅播放，播放列表及切换效果支持自定义编排，最多支持20余种图片切换特效；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8C515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7EACB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5DA13B3">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92C88B6">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B461D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7EEF9">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09DFEC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A0C9658">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1.最大负载功率：20KW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66B154B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C51E8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48A0A6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ACD5C41">
        <w:tblPrEx>
          <w:tblCellMar>
            <w:top w:w="0" w:type="dxa"/>
            <w:left w:w="108" w:type="dxa"/>
            <w:bottom w:w="0" w:type="dxa"/>
            <w:right w:w="108" w:type="dxa"/>
          </w:tblCellMar>
        </w:tblPrEx>
        <w:trPr>
          <w:trHeight w:val="1694"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685D3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59</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A86DB">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708EDE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E982352">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 高速内存；不小于250G固态硬盘；（投标人须提供书面承诺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4.支持在媒体库中添加本地文件、本地文件夹、字幕、NDI媒体、数字时钟、流媒体、传感器、采集设备、网站、媒体合集；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10C12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93CA1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F1C8E1D">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BAF6689">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CBF34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AC948">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F5D2CE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C6BAAA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E33C98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679BA4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187328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A927620">
        <w:tblPrEx>
          <w:tblCellMar>
            <w:top w:w="0" w:type="dxa"/>
            <w:left w:w="108" w:type="dxa"/>
            <w:bottom w:w="0" w:type="dxa"/>
            <w:right w:w="108" w:type="dxa"/>
          </w:tblCellMar>
        </w:tblPrEx>
        <w:trPr>
          <w:trHeight w:val="418"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72E2E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61</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F542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笃行致远</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10360E2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P1.8                         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E646C4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1.屏幕尺寸：不小于21.76m×3.68m=80.08㎡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三合一封装，点间距≤1.88mm，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 xml:space="preserve">≥3840Hz；须提供书面承诺函（格式自拟）并加盖公章，否则作无效投标处理。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9.灯驱合一，多层电路板设计，PCB焊盘采用沉金工艺处理；                                                                                                                                                                                                        </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10C693C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90DE2E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80.08</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334DF2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4F825290">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F5A9B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EB738">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4B1FAA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55FA829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4F21AF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ACA76E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80.08</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7EF34BD5">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BAF51E6">
        <w:tblPrEx>
          <w:tblCellMar>
            <w:top w:w="0" w:type="dxa"/>
            <w:left w:w="108" w:type="dxa"/>
            <w:bottom w:w="0" w:type="dxa"/>
            <w:right w:w="108" w:type="dxa"/>
          </w:tblCellMar>
        </w:tblPrEx>
        <w:trPr>
          <w:trHeight w:val="24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F3D52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63</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EC8E4">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254D00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二合一拼控处理器（40网口）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0C82A19">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1.输入接口包括2路HDMI2.0,1路DP1.2+HDMI2.0二选一,4路HDMI13,1路USB3.0,支持选配1路3G-SDI(IN+LOOP)，最大支持3路4K@60HZ信号同时输入；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2.视频输出支持40个千兆网口输出，4路10G-OPT光口，最大带载高达2600万像素，最宽支持16384,最高8192；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3.最大可支持12个2K图层或6个4K*1K图层或3个4K图层，全部图层大小和位置可单独调节。4K接口输入2K信号，按2K图层计算图层资源；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0958E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B1D78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150360A">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6A33013">
        <w:tblPrEx>
          <w:tblCellMar>
            <w:top w:w="0" w:type="dxa"/>
            <w:left w:w="108" w:type="dxa"/>
            <w:bottom w:w="0" w:type="dxa"/>
            <w:right w:w="108" w:type="dxa"/>
          </w:tblCellMar>
        </w:tblPrEx>
        <w:trPr>
          <w:trHeight w:val="20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69DF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8D936">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DF5DC5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DA2E251">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1.最大负载功率：90KW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DB14C4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FDC85B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09E2815">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3961A681">
        <w:tblPrEx>
          <w:tblCellMar>
            <w:top w:w="0" w:type="dxa"/>
            <w:left w:w="108" w:type="dxa"/>
            <w:bottom w:w="0" w:type="dxa"/>
            <w:right w:w="108" w:type="dxa"/>
          </w:tblCellMar>
        </w:tblPrEx>
        <w:trPr>
          <w:trHeight w:val="701"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9C859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65</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785E8">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1D5B8F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多媒体播控终端三</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14BB175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1.设备采用标准机架式金属结构机箱；设备出厂配置不低于：酷睿I7处理器、32G DDR5 高速内存、250G和1T双固态硬盘（投标人须提供书面承诺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 4路 DP 输出，接口分辨率可设置为4路5120×2880@60Hz，单接口极限宽度可设置为 8192，单接口极限高度可设置 8192；支持单设备 4接口拼接同步显示，拼接带载分辨率可设置为7680*4320@60Hz，最大可支持1路8K@60fps或4路4K@60fps媒体素材的硬解码播放，画面正常显示、所有画面均无卡顿、丢帧现象，视频播放的最大帧率不小于 60Hz；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3.一键硬件开关机控制和一键软件远程开关机控制，整机自带6路USB接口；不少于1路 3.5mm麦克风音频输入接口，1路 3.5mm外置音频输入接口，1路 3.5mm音频输出接口，2路卡侬音频输出接口；支持 5路 PCIE 3.0插槽，用于同步卡、采集卡、网卡的扩展，且支持千兆网口通讯；</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4.支持输出画面拆分重组，实现画面任意排序，实现多个输出接口对应画面的任意拆分重组以及任意角度旋转，满足不规则显示屏的拼接带载需求；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5.支持任意一台设备作为超级管理端，可以局域网内其他同系列设备进行超级管理，支持同时控制多个播放端进行节目切换、暂停、停止等操作；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6.支持对视频文件按照独有的格式进行加密，只有在授权密码校验通过后且在有效设定时间（如3个月）内才能正常播放； </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FE44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B988A4">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57D37CC7">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1F5E3F83">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69785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66</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4BC26">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0D5B713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053415E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E68134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657BD7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22081C5">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04963A8">
        <w:tblPrEx>
          <w:tblCellMar>
            <w:top w:w="0" w:type="dxa"/>
            <w:left w:w="108" w:type="dxa"/>
            <w:bottom w:w="0" w:type="dxa"/>
            <w:right w:w="108" w:type="dxa"/>
          </w:tblCellMar>
        </w:tblPrEx>
        <w:trPr>
          <w:trHeight w:val="8802"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C4F24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67</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D617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尾厅结语</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2F6E992">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P1.5                         LED显示屏</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6468DE3B">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1、屏幕尺寸：不小于6.08m×2.72m=16.54㎡</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★2.显示屏类型：封装方式采用SMD 三合一封装，点间距≤1.54mm，</w:t>
            </w:r>
            <w:r>
              <w:rPr>
                <w:rFonts w:hint="default" w:asciiTheme="minorEastAsia" w:hAnsiTheme="minorEastAsia" w:eastAsiaTheme="minorEastAsia" w:cstheme="minorEastAsia"/>
                <w:b/>
                <w:bCs/>
                <w:color w:val="000000" w:themeColor="text1"/>
                <w:kern w:val="0"/>
                <w:sz w:val="24"/>
                <w:szCs w:val="24"/>
                <w:lang w:bidi="ar"/>
                <w14:textFill>
                  <w14:solidFill>
                    <w14:schemeClr w14:val="tx1"/>
                  </w14:solidFill>
                </w14:textFill>
              </w:rPr>
              <w:t>视觉刷新频率</w:t>
            </w:r>
            <w:r>
              <w:rPr>
                <w:rFonts w:hint="eastAsia" w:asciiTheme="minorEastAsia" w:hAnsiTheme="minorEastAsia" w:eastAsiaTheme="minorEastAsia" w:cstheme="minorEastAsia"/>
                <w:b/>
                <w:bCs/>
                <w:color w:val="000000" w:themeColor="text1"/>
                <w:kern w:val="0"/>
                <w:sz w:val="24"/>
                <w:szCs w:val="24"/>
                <w:lang w:bidi="ar"/>
                <w14:textFill>
                  <w14:solidFill>
                    <w14:schemeClr w14:val="tx1"/>
                  </w14:solidFill>
                </w14:textFill>
              </w:rPr>
              <w:t xml:space="preserve">≥3840Hz；须提供书面承诺函（格式自拟）并加盖公章，否则作无效投标处理。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3.亮度≥600cd/㎡；亮度均匀性≥98%；</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4.灰度等级≥16bit；最高对比度≥6000:1；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5.每平米最大功耗≤450W/㎡，每平米平均功耗≤140W/㎡；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6.模组平整度：≤0.1mm，模组拼装精度：≤0.1mm，模组间隙≤0.1mm；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7.显示屏白场色品坐标：依据SJ/T 11141-2025</w:t>
            </w:r>
            <w:r>
              <w:rPr>
                <w:rFonts w:hint="eastAsia" w:ascii="宋体" w:hAnsi="宋体" w:cs="宋体"/>
                <w:bCs/>
                <w:color w:val="000000" w:themeColor="text1"/>
                <w:sz w:val="24"/>
                <w:szCs w:val="24"/>
                <w14:textFill>
                  <w14:solidFill>
                    <w14:schemeClr w14:val="tx1"/>
                  </w14:solidFill>
                </w14:textFill>
              </w:rPr>
              <w:t>《发光二极管(LED)显示屏通用规范》</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标准白场色x坐标：0.27-0.37，y坐标：0.25-0.37</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8.使用寿命≥100000 小时；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9.灯驱合一，多层电路板设计，PCB焊盘采用沉金工艺处理；                                                                                                                                                                                                        </w:t>
            </w:r>
          </w:p>
          <w:p w14:paraId="041B4273">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w:t>
            </w:r>
            <w:r>
              <w:rPr>
                <w:rFonts w:hint="default" w:ascii="宋体" w:hAnsi="宋体" w:cs="宋体"/>
                <w:bCs/>
                <w:color w:val="000000" w:themeColor="text1"/>
                <w:sz w:val="24"/>
                <w:szCs w:val="24"/>
                <w14:textFill>
                  <w14:solidFill>
                    <w14:schemeClr w14:val="tx1"/>
                  </w14:solidFill>
                </w14:textFill>
              </w:rPr>
              <w:t>0</w:t>
            </w:r>
            <w:r>
              <w:rPr>
                <w:rFonts w:hint="eastAsia" w:ascii="宋体" w:hAnsi="宋体" w:cs="宋体"/>
                <w:bCs/>
                <w:color w:val="000000" w:themeColor="text1"/>
                <w:sz w:val="24"/>
                <w:szCs w:val="24"/>
                <w14:textFill>
                  <w14:solidFill>
                    <w14:schemeClr w14:val="tx1"/>
                  </w14:solidFill>
                </w14:textFill>
              </w:rPr>
              <w:t>.模组采用卡扣式后盖，无需使用工具即可拆卸；</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DFB4EC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D0B0DD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16.54</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AEC995B">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净面积工程量，综合单价考虑备品备件和接收卡</w:t>
            </w:r>
          </w:p>
        </w:tc>
      </w:tr>
      <w:tr w14:paraId="4A13A1ED">
        <w:tblPrEx>
          <w:tblCellMar>
            <w:top w:w="0" w:type="dxa"/>
            <w:left w:w="108" w:type="dxa"/>
            <w:bottom w:w="0" w:type="dxa"/>
            <w:right w:w="108" w:type="dxa"/>
          </w:tblCellMar>
        </w:tblPrEx>
        <w:trPr>
          <w:trHeight w:val="4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BA015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68</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9B42E">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2A25FF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LED屏体内部钢结构框架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A880A33">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依据设计需求与现场环境定制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778929A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5F1788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16.54</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41042BE">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49601AD">
        <w:tblPrEx>
          <w:tblCellMar>
            <w:top w:w="0" w:type="dxa"/>
            <w:left w:w="108" w:type="dxa"/>
            <w:bottom w:w="0" w:type="dxa"/>
            <w:right w:w="108" w:type="dxa"/>
          </w:tblCellMar>
        </w:tblPrEx>
        <w:trPr>
          <w:trHeight w:val="24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C1328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69</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463B5">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3235D6D1">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二合一拼控处理器（16网口）</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9CD2D7B">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1.输入接口包括1路HDMI2.0,1路DP1.2,4路HDMI13,1路USB3.0,支持选配1路3G-SDI(IN+LOOP)，最大支持2路4K@60HZ信号同时输入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2.视频输出支持16个千兆网口输出，2路10G-OPT光口，最大带载高达1040万像素，最宽支持16384,最高8192。</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3.最大可支持12个2K图层或6个4K*1K图层或3个4K图层，全部图层大小和位置可单独调节。4K接口输入2K信号，按2K图层计算图层资源；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4.集成发送卡和视频处理器功能，连线更少，设备集成度更高，稳定性兼容性大大提升。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5.支持U盘即插即播功能，最大支持4K级（3840*2160@60fps）图片和视频的流畅播放，播放列表及切换效果支持自定义编排，支持20余种图片切换特效；</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6.支持微信小程序快捷控制，平板快捷控制；</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7457F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EEEAE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B471068">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761CD3EF">
        <w:tblPrEx>
          <w:tblCellMar>
            <w:top w:w="0" w:type="dxa"/>
            <w:left w:w="108" w:type="dxa"/>
            <w:bottom w:w="0" w:type="dxa"/>
            <w:right w:w="108" w:type="dxa"/>
          </w:tblCellMar>
        </w:tblPrEx>
        <w:trPr>
          <w:trHeight w:val="843"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7F6C7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70</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E55B9">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75FAD6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20KW PLC</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LED屏配电箱</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5034178">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1.最大负载功率：20KW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2.输入电压：380V，三相五线制输入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3.输出电压：220V</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4.输出功率：每路3.5-5KW</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5.频率：50Hz</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6.多组输出回路 每组可独立控制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7.具有电源状态指示、工作状态指示；有RJ45、RS485接口，可远程控制设备</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8.具有过压、过流、短路、断路、过载、漏电、浪涌等保护功能</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9.内置避雷器，具有防雷冲击</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2CE8AD2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35E2D5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49F74D81">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26A2067">
        <w:tblPrEx>
          <w:tblCellMar>
            <w:top w:w="0" w:type="dxa"/>
            <w:left w:w="108" w:type="dxa"/>
            <w:bottom w:w="0" w:type="dxa"/>
            <w:right w:w="108" w:type="dxa"/>
          </w:tblCellMar>
        </w:tblPrEx>
        <w:trPr>
          <w:trHeight w:val="3150"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6E93B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71</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25A13">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497A9A4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多媒体播控终端一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430E3D3">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1.设备采用标准机架式金属结构机箱；设备出厂配置不低于：酷睿I3处理器、16G DDR4 高速内存；不小于250G固态硬盘；（投标人须提供书面承诺</w:t>
            </w:r>
            <w:r>
              <w:rPr>
                <w:rFonts w:hint="eastAsia" w:ascii="宋体" w:hAnsi="宋体" w:cs="宋体"/>
                <w:bCs/>
                <w:color w:val="000000" w:themeColor="text1"/>
                <w:sz w:val="24"/>
                <w:szCs w:val="24"/>
                <w14:textFill>
                  <w14:solidFill>
                    <w14:schemeClr w14:val="tx1"/>
                  </w14:solidFill>
                </w14:textFill>
              </w:rPr>
              <w:t>函（格式自拟）</w:t>
            </w:r>
            <w:r>
              <w:rPr>
                <w:rFonts w:hint="eastAsia" w:asciiTheme="minorEastAsia" w:hAnsiTheme="minorEastAsia" w:eastAsiaTheme="minorEastAsia" w:cstheme="minorEastAsia"/>
                <w:bCs/>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2.不少于独立的1路DP输出，接口分辨率可设置为4096*2160@60Hz，单接口极限宽度可设置为7680，单口极限高度可设置4095。4 路HDMI输出，第一个接口可设置为4K模式，分辨率可以设置为4096*2160@60Hz，单接口极限宽度可设置为7680，单口极限高度可设置4095，此时另外三个HDMI接口禁用。第一个接口设置为2K模式时，4个HDMI口可同时输出，分辨率设置为1920*1080@60hz，单口极限宽度2048，极限高度1280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3.支持一键硬件开关机控制和一键软件远程开关机控制，整机自带6路USB接口。1路3.5mm麦克风音频输入接口，1路3.5mm音频输出接口。支持千兆网口通讯，可支持第三方通过TCP、UDP进行集成控制。</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4.支持在媒体库中添加本地文件、本地文件夹、字幕、NDI媒体、数字时钟、流媒体、传感器、采集设备、网站、媒体合集；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5.支持节目整体播放、暂停、停止、音量调节，支持排期播放和播放日志查看功能；</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81E26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50C55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076EA920">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467EAAD1">
        <w:tblPrEx>
          <w:tblCellMar>
            <w:top w:w="0" w:type="dxa"/>
            <w:left w:w="108" w:type="dxa"/>
            <w:bottom w:w="0" w:type="dxa"/>
            <w:right w:w="108" w:type="dxa"/>
          </w:tblCellMar>
        </w:tblPrEx>
        <w:trPr>
          <w:trHeight w:val="157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0A430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72</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D3C0C">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5C31F9CC">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超高分辨率同步播放软件一</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1223CCE0">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1.支持多图层及音频图层同时播放；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2.支持编辑和播放分离，即实现控制、播放及素材画面的实时预览，也可实现后台编辑预览完成后再输出播放；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3.支持多种媒体类型，支持多个不同规格素材同步播出；</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4.支持图层遮罩、图层截取、图层模糊、不透明调节；</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5.支持开机软件自启动和自启动播放；</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6.支持可视化平台APP控制。</w:t>
            </w:r>
          </w:p>
        </w:tc>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049C7F6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套</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845408D">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14D2456C">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508FE55E">
        <w:tblPrEx>
          <w:tblCellMar>
            <w:top w:w="0" w:type="dxa"/>
            <w:left w:w="108" w:type="dxa"/>
            <w:bottom w:w="0" w:type="dxa"/>
            <w:right w:w="108" w:type="dxa"/>
          </w:tblCellMar>
        </w:tblPrEx>
        <w:trPr>
          <w:trHeight w:val="2967"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F7AA26">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73</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9265">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信息安全</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614A6829">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信息播控安全终端及软件</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3118819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识别范围：涉黄、涉暴、涉政、涉恐、涉政旗帜、涉政人物、敏感词六大方面，范围包括色情、性感、血腥恐怖、武器及武器持有者、人群聚集、火灾、车祸、特殊着装、涉政旗帜、涉政标识、涉政人物、广告文字等，支持模型调优；</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2.事后处理：支持通过PC端登录用户平台查看异常日志并可通过回放功能进行事件还原取证分析。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3.硬件配置：ARM架构；CPU不低于8核64位主频高2.4GHZ；GPU不低于ARM Mali-G610；NPU支持INT8且≥6Tops；内存≥4G，内存最大容量支持 8GB；HDMI 输入输出支持分辨率可调，最大支持4K@30；</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4.接口配置：≥1*USB3.0接口，≥2*USB2.0接口，≥1*TYPE-C接口，≥2*HDMI接口，≥1*DP接口，≥2*网口，≥1*串口；</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5.公共显示屏内容安全智能审核终端应能满足在不低于1000次识别敏感人脸视频或图片测试中，准确率≥99.9%；公共显示屏内容安全智能审核终端应能满足在不低于1000次正常图像测试中，误识别率≤0.1%。</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6.</w:t>
            </w:r>
            <w:r>
              <w:rPr>
                <w:rFonts w:hint="eastAsia"/>
                <w:color w:val="000000" w:themeColor="text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事后处理：支持登录管理平台，包含但不限于操作日志、登录日志、升级日志、策略日志、设备报警、告警事件、违规时间、违规类型、违规画面，可生成报表导出还原取证分析、溯源。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支持待办已办事项查询与操作，能够查看待办事项发起人、接收时间、流程状态等内容，查看待办事项具体内容，对内容进行审核，对待办事项执行同意或拒绝操作;支持查看内容安全监管设备详细记录，包含但不限于：设备告警记录、设备操作记录、设备健康状态、设备任务日志、设备升级日志，其中设备健康状态能够实时显示设备当前状态、网络信号、设备温度、HDMI是否接入、故障情况，方便用户更好对内容安全监管设备进行管控。（须提供设备功能截图或产品规格书佐证）</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D01BBF">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4DEA4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231F61CF">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2C95579C">
        <w:tblPrEx>
          <w:tblCellMar>
            <w:top w:w="0" w:type="dxa"/>
            <w:left w:w="108" w:type="dxa"/>
            <w:bottom w:w="0" w:type="dxa"/>
            <w:right w:w="108" w:type="dxa"/>
          </w:tblCellMar>
        </w:tblPrEx>
        <w:trPr>
          <w:trHeight w:val="11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2FDC7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74</w:t>
            </w:r>
          </w:p>
        </w:tc>
        <w:tc>
          <w:tcPr>
            <w:tcW w:w="6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B87E2">
            <w:pPr>
              <w:spacing w:line="360" w:lineRule="auto"/>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2E4E0F6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安全管理平台</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7546A480">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1.CPU：不低于Ultra 7处理器</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2.内存：≥32GB 内存</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3.硬盘：≥512GB固态+2TB机械</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4.显卡：不低于RTX5060Ti 16GB显存</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5.显示器：不小于27寸4K分辨率</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0058C8">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5FCD0A">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8897551">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14:paraId="0496D1EE">
        <w:tblPrEx>
          <w:tblCellMar>
            <w:top w:w="0" w:type="dxa"/>
            <w:left w:w="108" w:type="dxa"/>
            <w:bottom w:w="0" w:type="dxa"/>
            <w:right w:w="108" w:type="dxa"/>
          </w:tblCellMar>
        </w:tblPrEx>
        <w:trPr>
          <w:trHeight w:val="1125" w:hRule="atLeast"/>
        </w:trPr>
        <w:tc>
          <w:tcPr>
            <w:tcW w:w="5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C4156E">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75</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14:paraId="2260D667">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媒体管理</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14:paraId="7F50E870">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媒体存储平台</w:t>
            </w:r>
          </w:p>
        </w:tc>
        <w:tc>
          <w:tcPr>
            <w:tcW w:w="5925" w:type="dxa"/>
            <w:tcBorders>
              <w:top w:val="single" w:color="auto" w:sz="4" w:space="0"/>
              <w:left w:val="single" w:color="auto" w:sz="4" w:space="0"/>
              <w:bottom w:val="single" w:color="auto" w:sz="4" w:space="0"/>
              <w:right w:val="single" w:color="auto" w:sz="4" w:space="0"/>
            </w:tcBorders>
            <w:shd w:val="clear" w:color="auto" w:fill="auto"/>
            <w:vAlign w:val="center"/>
          </w:tcPr>
          <w:p w14:paraId="27AD16F6">
            <w:pPr>
              <w:widowControl/>
              <w:spacing w:line="360" w:lineRule="auto"/>
              <w:jc w:val="left"/>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1.CPU：不低于Ultra 7处理器</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2.内存：≥32GB 内存</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3.硬盘：≥512GB固态+8TB机械</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4.显卡：不低于RTX5060Ti 16GB显存</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5.显示器：不小于32寸4K分辨率</w:t>
            </w:r>
          </w:p>
        </w:tc>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22468B">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台</w:t>
            </w:r>
          </w:p>
        </w:tc>
        <w:tc>
          <w:tcPr>
            <w:tcW w:w="9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871403">
            <w:pPr>
              <w:widowControl/>
              <w:spacing w:line="360" w:lineRule="auto"/>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3D5D5AFC">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bl>
    <w:p w14:paraId="30C889A2">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p>
    <w:p w14:paraId="2CA68BC5">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2.技术要求</w:t>
      </w:r>
    </w:p>
    <w:p w14:paraId="3DBBB69F">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 本项目的PLC配电箱、</w:t>
      </w:r>
      <w:bookmarkStart w:id="33" w:name="OLE_LINK5"/>
      <w:r>
        <w:rPr>
          <w:rFonts w:hint="eastAsia" w:ascii="宋体" w:hAnsi="宋体" w:cs="宋体"/>
          <w:color w:val="000000" w:themeColor="text1"/>
          <w:sz w:val="24"/>
          <w:szCs w:val="24"/>
          <w14:textFill>
            <w14:solidFill>
              <w14:schemeClr w14:val="tx1"/>
            </w14:solidFill>
          </w14:textFill>
        </w:rPr>
        <w:t>多媒体播控终端</w:t>
      </w:r>
      <w:bookmarkEnd w:id="33"/>
      <w:r>
        <w:rPr>
          <w:rFonts w:hint="eastAsia" w:ascii="宋体" w:hAnsi="宋体" w:cs="宋体"/>
          <w:color w:val="000000" w:themeColor="text1"/>
          <w:sz w:val="24"/>
          <w:szCs w:val="24"/>
          <w14:textFill>
            <w14:solidFill>
              <w14:schemeClr w14:val="tx1"/>
            </w14:solidFill>
          </w14:textFill>
        </w:rPr>
        <w:t>和播放软件须能接受中控系统（RJ45或RS485接口）的统一控制，由中控系统控制上电、断电、开关机、播放影片。</w:t>
      </w:r>
    </w:p>
    <w:p w14:paraId="43B88FF7">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 本项目的前言、根本遵循、时代背景、擎画蓝图四个屏体距离其拼控处理器（统一放置在二楼弱电机房）较远，已布设光纤，需自行配备光纤收发器。</w:t>
      </w:r>
    </w:p>
    <w:p w14:paraId="288B079E">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2.3 本项目LED屏体安装完成后，须根据展厅布展的要求进行收边装饰。</w:t>
      </w:r>
    </w:p>
    <w:p w14:paraId="00D3280A">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2.4 总规沙盘LED屏需支持GIS系统（另行采购）信号输入（不多于16路DP/HDMI信号），投标人须承诺总规沙盘展项的LED屏和视频拼接处理器与GIS系统完美兼容且无缝衔接（接入数据像素不低于99532800px，并对图像进行拼接，实现完美显示效果)。</w:t>
      </w:r>
    </w:p>
    <w:p w14:paraId="2CC1FBDB">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2.5 LED显示屏备品模组面积不低于同型号LED显示屏模组总面积的0.5%（且不少于3块备品模组），所需的费用应包含在总报价中，备品应在现场与安装大屏一同做同步老化。（投标人需在投标文件中响应满足上述条款要求）</w:t>
      </w:r>
    </w:p>
    <w:p w14:paraId="2DC37D45">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2.6 须负责LED屏配电箱至LED屏体的配管配线。（在配管配线实施过程中会涉及部分拆改及修复，投标人应自行勘察现场并根据现场实际情况实施到位）</w:t>
      </w:r>
    </w:p>
    <w:p w14:paraId="3E84A945">
      <w:pPr>
        <w:spacing w:line="360" w:lineRule="auto"/>
        <w:ind w:firstLine="480" w:firstLineChars="200"/>
        <w:jc w:val="left"/>
        <w:rPr>
          <w:rFonts w:ascii="宋体" w:hAnsi="宋体"/>
          <w:b/>
          <w:color w:val="000000" w:themeColor="text1"/>
          <w:sz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b/>
          <w:color w:val="000000" w:themeColor="text1"/>
          <w:sz w:val="24"/>
          <w14:textFill>
            <w14:solidFill>
              <w14:schemeClr w14:val="tx1"/>
            </w14:solidFill>
          </w14:textFill>
        </w:rPr>
        <w:t>同一品牌认定标准：如果有多家投标人所报核心产品（序号 13 总规沙盘的P3 LED显示屏）为同品牌，各合同包内无论其他品目号产品投标的品牌是否一样，均只能视为一家，此外其他情形均不认定为同品牌。</w:t>
      </w:r>
    </w:p>
    <w:p w14:paraId="12C36A53">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 附件</w:t>
      </w:r>
    </w:p>
    <w:p w14:paraId="379C96CF">
      <w:pPr>
        <w:spacing w:line="360" w:lineRule="auto"/>
        <w:ind w:firstLine="480" w:firstLineChars="200"/>
        <w:jc w:val="lef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附件1：LED屏系统图</w:t>
      </w:r>
    </w:p>
    <w:p w14:paraId="5FD3C621">
      <w:pPr>
        <w:spacing w:line="360" w:lineRule="auto"/>
        <w:ind w:firstLine="480" w:firstLineChars="200"/>
        <w:jc w:val="left"/>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附件2：LED屏配电箱位置图</w:t>
      </w:r>
    </w:p>
    <w:p w14:paraId="3998D836">
      <w:pPr>
        <w:spacing w:line="360" w:lineRule="auto"/>
        <w:ind w:firstLine="480" w:firstLineChars="200"/>
        <w:jc w:val="left"/>
        <w:rPr>
          <w:rFonts w:hint="eastAsia" w:ascii="宋体" w:hAnsi="宋体" w:cs="宋体"/>
          <w:bCs/>
          <w:color w:val="000000" w:themeColor="text1"/>
          <w:sz w:val="24"/>
          <w:szCs w:val="24"/>
          <w14:textFill>
            <w14:solidFill>
              <w14:schemeClr w14:val="tx1"/>
            </w14:solidFill>
          </w14:textFill>
        </w:rPr>
      </w:pPr>
    </w:p>
    <w:p w14:paraId="1B8623D6">
      <w:pPr>
        <w:spacing w:line="360" w:lineRule="auto"/>
        <w:rPr>
          <w:rFonts w:hint="eastAsia" w:ascii="宋体" w:hAnsi="宋体"/>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w:t>
      </w:r>
      <w:r>
        <w:rPr>
          <w:rFonts w:hint="eastAsia" w:ascii="宋体" w:hAnsi="宋体"/>
          <w:b/>
          <w:bCs/>
          <w:color w:val="000000" w:themeColor="text1"/>
          <w:sz w:val="24"/>
          <w:szCs w:val="24"/>
          <w14:textFill>
            <w14:solidFill>
              <w14:schemeClr w14:val="tx1"/>
            </w14:solidFill>
          </w14:textFill>
        </w:rPr>
        <w:t>、采购要求</w:t>
      </w:r>
    </w:p>
    <w:p w14:paraId="05A4BBB9">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1．中标供应商生产前提供具体图纸，必要时须依使用单位要求提供效果图，待使用单位确认后方可生产，价格不得调整。</w:t>
      </w:r>
    </w:p>
    <w:p w14:paraId="7AE3613F">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2．投标人应严格按照招标文件的规格、数量、技术及材质等要求进行报价。</w:t>
      </w:r>
    </w:p>
    <w:p w14:paraId="15984566">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3．投标人应在投标文件中提供质量管理、技术力量说明（主要生产技术骨干、质管人员的数量和职称）。</w:t>
      </w:r>
    </w:p>
    <w:p w14:paraId="562DE92A">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default"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项目团队</w:t>
      </w:r>
      <w:r>
        <w:rPr>
          <w:rFonts w:hint="default" w:ascii="宋体" w:hAnsi="宋体"/>
          <w:color w:val="000000" w:themeColor="text1"/>
          <w:sz w:val="24"/>
          <w:szCs w:val="24"/>
          <w14:textFill>
            <w14:solidFill>
              <w14:schemeClr w14:val="tx1"/>
            </w14:solidFill>
          </w14:textFill>
        </w:rPr>
        <w:t>人员</w:t>
      </w:r>
      <w:r>
        <w:rPr>
          <w:rFonts w:hint="eastAsia" w:ascii="宋体" w:hAnsi="宋体"/>
          <w:color w:val="000000" w:themeColor="text1"/>
          <w:sz w:val="24"/>
          <w:szCs w:val="24"/>
          <w14:textFill>
            <w14:solidFill>
              <w14:schemeClr w14:val="tx1"/>
            </w14:solidFill>
          </w14:textFill>
        </w:rPr>
        <w:t>需具备相关</w:t>
      </w:r>
      <w:r>
        <w:rPr>
          <w:rFonts w:hint="default" w:ascii="宋体" w:hAnsi="宋体"/>
          <w:color w:val="000000" w:themeColor="text1"/>
          <w:sz w:val="24"/>
          <w:szCs w:val="24"/>
          <w14:textFill>
            <w14:solidFill>
              <w14:schemeClr w14:val="tx1"/>
            </w14:solidFill>
          </w14:textFill>
        </w:rPr>
        <w:t>设备安装调试</w:t>
      </w:r>
      <w:r>
        <w:rPr>
          <w:rFonts w:hint="eastAsia" w:ascii="宋体" w:hAnsi="宋体"/>
          <w:color w:val="000000" w:themeColor="text1"/>
          <w:sz w:val="24"/>
          <w:szCs w:val="24"/>
          <w14:textFill>
            <w14:solidFill>
              <w14:schemeClr w14:val="tx1"/>
            </w14:solidFill>
          </w14:textFill>
        </w:rPr>
        <w:t>工作经验，技术负责人</w:t>
      </w:r>
      <w:r>
        <w:rPr>
          <w:rFonts w:hint="default" w:ascii="宋体" w:hAnsi="宋体"/>
          <w:color w:val="000000" w:themeColor="text1"/>
          <w:sz w:val="24"/>
          <w:szCs w:val="24"/>
          <w14:textFill>
            <w14:solidFill>
              <w14:schemeClr w14:val="tx1"/>
            </w14:solidFill>
          </w14:textFill>
        </w:rPr>
        <w:t>须</w:t>
      </w:r>
      <w:r>
        <w:rPr>
          <w:rFonts w:hint="eastAsia" w:ascii="宋体" w:hAnsi="宋体"/>
          <w:color w:val="000000" w:themeColor="text1"/>
          <w:sz w:val="24"/>
          <w:szCs w:val="24"/>
          <w14:textFill>
            <w14:solidFill>
              <w14:schemeClr w14:val="tx1"/>
            </w14:solidFill>
          </w14:textFill>
        </w:rPr>
        <w:t>具有相关专业证书。</w:t>
      </w:r>
    </w:p>
    <w:p w14:paraId="353D2EEC">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default"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投标人需将以上货物的参考指标与所投货物的技术指标、参数，在投标文件中分别列出，一一对应。</w:t>
      </w:r>
    </w:p>
    <w:p w14:paraId="779F178B">
      <w:pPr>
        <w:spacing w:line="360" w:lineRule="auto"/>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三、投标人资格要求</w:t>
      </w:r>
    </w:p>
    <w:p w14:paraId="6F6DD628">
      <w:pPr>
        <w:spacing w:line="360" w:lineRule="auto"/>
        <w:ind w:firstLine="482" w:firstLineChars="200"/>
        <w:rPr>
          <w:rFonts w:hint="eastAsia" w:ascii="宋体" w:hAnsi="宋体"/>
          <w:b/>
          <w:bCs/>
          <w:color w:val="000000" w:themeColor="text1"/>
          <w:sz w:val="24"/>
          <w:szCs w:val="24"/>
          <w14:textFill>
            <w14:solidFill>
              <w14:schemeClr w14:val="tx1"/>
            </w14:solidFill>
          </w14:textFill>
        </w:rPr>
      </w:pPr>
      <w:bookmarkStart w:id="34" w:name="OLE_LINK172"/>
      <w:bookmarkStart w:id="35" w:name="OLE_LINK173"/>
      <w:r>
        <w:rPr>
          <w:rFonts w:hint="eastAsia" w:ascii="宋体" w:hAnsi="宋体"/>
          <w:b/>
          <w:bCs/>
          <w:color w:val="000000" w:themeColor="text1"/>
          <w:sz w:val="24"/>
          <w:szCs w:val="24"/>
          <w14:textFill>
            <w14:solidFill>
              <w14:schemeClr w14:val="tx1"/>
            </w14:solidFill>
          </w14:textFill>
        </w:rPr>
        <w:t>★</w:t>
      </w:r>
      <w:bookmarkEnd w:id="34"/>
      <w:bookmarkEnd w:id="35"/>
      <w:r>
        <w:rPr>
          <w:rFonts w:hint="eastAsia" w:ascii="宋体" w:hAnsi="宋体"/>
          <w:b/>
          <w:bCs/>
          <w:color w:val="000000" w:themeColor="text1"/>
          <w:sz w:val="24"/>
          <w:szCs w:val="24"/>
          <w14:textFill>
            <w14:solidFill>
              <w14:schemeClr w14:val="tx1"/>
            </w14:solidFill>
          </w14:textFill>
        </w:rPr>
        <w:t>1.投标人应提供工商营业执照（副本）的复印件（加盖公章）。</w:t>
      </w:r>
    </w:p>
    <w:p w14:paraId="4E6BD8ED">
      <w:pPr>
        <w:pStyle w:val="9"/>
        <w:spacing w:before="0" w:beforeAutospacing="0" w:after="0" w:afterAutospacing="0" w:line="360" w:lineRule="auto"/>
        <w:ind w:firstLine="482" w:firstLineChars="200"/>
        <w:rPr>
          <w:rFonts w:hint="eastAsia"/>
          <w:b/>
          <w:bCs/>
          <w:color w:val="000000" w:themeColor="text1"/>
          <w14:textFill>
            <w14:solidFill>
              <w14:schemeClr w14:val="tx1"/>
            </w14:solidFill>
          </w14:textFill>
        </w:rPr>
      </w:pPr>
      <w:bookmarkStart w:id="36" w:name="OLE_LINK171"/>
      <w:bookmarkStart w:id="37" w:name="OLE_LINK170"/>
      <w:r>
        <w:rPr>
          <w:rFonts w:hint="eastAsia"/>
          <w:b/>
          <w:bCs/>
          <w:color w:val="000000" w:themeColor="text1"/>
          <w14:textFill>
            <w14:solidFill>
              <w14:schemeClr w14:val="tx1"/>
            </w14:solidFill>
          </w14:textFill>
        </w:rPr>
        <w:t>★</w:t>
      </w:r>
      <w:bookmarkEnd w:id="36"/>
      <w:bookmarkEnd w:id="37"/>
      <w:r>
        <w:rPr>
          <w:rFonts w:hint="eastAsia"/>
          <w:b/>
          <w:bCs/>
          <w:color w:val="000000" w:themeColor="text1"/>
          <w14:textFill>
            <w14:solidFill>
              <w14:schemeClr w14:val="tx1"/>
            </w14:solidFill>
          </w14:textFill>
        </w:rPr>
        <w:t>2.投标人全权代表若不是单位负责人，应提供单位授权书原件，并提供被授权代表身份证复印件。</w:t>
      </w:r>
    </w:p>
    <w:p w14:paraId="1378E285">
      <w:pPr>
        <w:widowControl/>
        <w:snapToGrid w:val="0"/>
        <w:spacing w:line="360" w:lineRule="auto"/>
        <w:jc w:val="left"/>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shd w:val="clear" w:color="auto" w:fill="FFFFFF"/>
          <w14:textFill>
            <w14:solidFill>
              <w14:schemeClr w14:val="tx1"/>
            </w14:solidFill>
          </w14:textFill>
        </w:rPr>
        <w:t>四、设备的质量标准和售后运维服务要求</w:t>
      </w:r>
    </w:p>
    <w:p w14:paraId="2C94C4EA">
      <w:pPr>
        <w:widowControl/>
        <w:snapToGrid w:val="0"/>
        <w:spacing w:line="360" w:lineRule="auto"/>
        <w:ind w:firstLine="480" w:firstLineChars="200"/>
        <w:jc w:val="left"/>
        <w:rPr>
          <w:rFonts w:hint="eastAsia" w:asciiTheme="minorEastAsia" w:hAnsiTheme="minorEastAsia" w:eastAsiaTheme="minorEastAsia" w:cstheme="minorEastAsia"/>
          <w:bCs/>
          <w:color w:val="000000" w:themeColor="text1"/>
          <w:kern w:val="0"/>
          <w:sz w:val="24"/>
          <w:szCs w:val="24"/>
          <w:shd w:val="clear" w:color="auto" w:fill="FFFFFF"/>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4"/>
          <w:shd w:val="clear" w:color="auto" w:fill="FFFFFF"/>
          <w14:textFill>
            <w14:solidFill>
              <w14:schemeClr w14:val="tx1"/>
            </w14:solidFill>
          </w14:textFill>
        </w:rPr>
        <w:t>1.投标人提供的产品必须为原厂原装，软件必须为正版软件，有永久使用权限，终生免费升级；产品应符合国家有关标准，投标人应对此作出书面承诺函（格式自拟），如后续供货、验收时发现所提供的产品不符合上述要求，采购单位取消其中标资格，并追究其相关责任。</w:t>
      </w:r>
    </w:p>
    <w:p w14:paraId="4B93A241">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shd w:val="clear" w:color="auto" w:fill="FFFFFF"/>
          <w14:textFill>
            <w14:solidFill>
              <w14:schemeClr w14:val="tx1"/>
            </w14:solidFill>
          </w14:textFill>
        </w:rPr>
        <w:t>2.投标人所投设备的制造标准、安装标准及技术规范等有关资料应符合现行我国相应的有关标准、规范要求。</w:t>
      </w:r>
    </w:p>
    <w:p w14:paraId="314AF556">
      <w:pPr>
        <w:spacing w:line="360" w:lineRule="auto"/>
        <w:ind w:firstLine="422" w:firstLineChars="200"/>
        <w:rPr>
          <w:rFonts w:hint="eastAsia" w:ascii="宋体" w:hAnsi="宋体"/>
          <w:b/>
          <w:bCs/>
          <w:color w:val="000000" w:themeColor="text1"/>
          <w:sz w:val="24"/>
          <w:szCs w:val="24"/>
          <w14:textFill>
            <w14:solidFill>
              <w14:schemeClr w14:val="tx1"/>
            </w14:solidFill>
          </w14:textFill>
        </w:rPr>
      </w:pPr>
      <w:r>
        <w:rPr>
          <w:rFonts w:hint="eastAsia"/>
          <w:b/>
          <w:bCs/>
          <w:color w:val="000000" w:themeColor="text1"/>
          <w14:textFill>
            <w14:solidFill>
              <w14:schemeClr w14:val="tx1"/>
            </w14:solidFill>
          </w14:textFill>
        </w:rPr>
        <w:t>★</w:t>
      </w:r>
      <w:r>
        <w:rPr>
          <w:rFonts w:hint="eastAsia" w:asciiTheme="minorEastAsia" w:hAnsiTheme="minorEastAsia" w:eastAsiaTheme="minorEastAsia" w:cstheme="minorEastAsia"/>
          <w:b/>
          <w:color w:val="000000" w:themeColor="text1"/>
          <w:kern w:val="0"/>
          <w:sz w:val="24"/>
          <w:szCs w:val="24"/>
          <w:shd w:val="clear" w:color="auto" w:fill="FFFFFF"/>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投标人保证自验收合格之日起，设备及软件系统至少两年质保，并提供免费上门更换设备及维护服务，所需的费用应包含在总报价中。质保期过后所更换的零配件不高于市场价原则收取。</w:t>
      </w:r>
      <w:r>
        <w:rPr>
          <w:rFonts w:hint="eastAsia" w:ascii="宋体" w:hAnsi="宋体"/>
          <w:b/>
          <w:bCs/>
          <w:color w:val="000000" w:themeColor="text1"/>
          <w:sz w:val="24"/>
          <w:szCs w:val="24"/>
          <w14:textFill>
            <w14:solidFill>
              <w14:schemeClr w14:val="tx1"/>
            </w14:solidFill>
          </w14:textFill>
        </w:rPr>
        <w:t>须提供书面承诺函（格式自拟），否则作无效投标处理。</w:t>
      </w:r>
    </w:p>
    <w:p w14:paraId="4BB26E13">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4.投标人应为本次采购的设备提供现场安装、调试、培训及过质保期设备正常运行维护。投标人在技术方案中对技术服务做出详细描述，至少包括：设备故障时的现场服务、服务响应时间等。设备故障的响应时效：维修人员应在接到故障通知后4小时内赶到现场分析、排除故障。24小时内不能排除故障的，要提供解决方案并在使用单位规定期限内排除故障。</w:t>
      </w:r>
    </w:p>
    <w:p w14:paraId="72C4E384">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5.质保期满后，中标供应商应提供配件、技术咨询、有偿维修等服务。出现故障时中标供应商应及时响应，并在8小时内派技术人员到现场解决故障；如需更换零配件的，零配件的价格以投标文件中所列价格核收。</w:t>
      </w:r>
    </w:p>
    <w:p w14:paraId="0ECCDFBA">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6.中标供应商对设备应进行定期或不定期的维护，以使系统保持良好的运行状态。</w:t>
      </w:r>
    </w:p>
    <w:p w14:paraId="414F18F8">
      <w:pPr>
        <w:widowControl/>
        <w:snapToGrid w:val="0"/>
        <w:spacing w:line="360" w:lineRule="auto"/>
        <w:ind w:firstLine="480" w:firstLineChars="20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7.投标人应按照本采购项目特点提供长期良好的售后服务，并在投标文件中提供详细具体的售后服务承诺条款及保证。</w:t>
      </w:r>
    </w:p>
    <w:p w14:paraId="2135393A">
      <w:pPr>
        <w:widowControl/>
        <w:snapToGrid w:val="0"/>
        <w:spacing w:before="60" w:after="60" w:line="360" w:lineRule="auto"/>
        <w:jc w:val="left"/>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五、培训要求</w:t>
      </w:r>
    </w:p>
    <w:p w14:paraId="74D3C33E">
      <w:pPr>
        <w:widowControl/>
        <w:snapToGrid w:val="0"/>
        <w:spacing w:before="60" w:after="60" w:line="360" w:lineRule="auto"/>
        <w:ind w:firstLine="390"/>
        <w:jc w:val="left"/>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pPr>
      <w:r>
        <w:rPr>
          <w:rFonts w:hint="eastAsia"/>
          <w:b/>
          <w:bCs/>
          <w:color w:val="000000" w:themeColor="text1"/>
          <w14:textFill>
            <w14:solidFill>
              <w14:schemeClr w14:val="tx1"/>
            </w14:solidFill>
          </w14:textFill>
        </w:rPr>
        <w:t>★</w:t>
      </w:r>
      <w:r>
        <w:rPr>
          <w:rFonts w:hint="eastAsia" w:asciiTheme="minorEastAsia" w:hAnsiTheme="minorEastAsia" w:eastAsiaTheme="minorEastAsia" w:cstheme="minorEastAsia"/>
          <w:b/>
          <w:bCs/>
          <w:color w:val="000000" w:themeColor="text1"/>
          <w:kern w:val="0"/>
          <w:sz w:val="24"/>
          <w:szCs w:val="24"/>
          <w:shd w:val="clear" w:color="auto" w:fill="FFFFFF"/>
          <w14:textFill>
            <w14:solidFill>
              <w14:schemeClr w14:val="tx1"/>
            </w14:solidFill>
          </w14:textFill>
        </w:rPr>
        <w:t>1.必须对使用人员进行培训，并制订培训计划，所需费用应包含在总报价中。</w:t>
      </w:r>
    </w:p>
    <w:p w14:paraId="17FC5D4F">
      <w:pPr>
        <w:widowControl/>
        <w:snapToGrid w:val="0"/>
        <w:spacing w:before="60" w:after="60" w:line="360" w:lineRule="auto"/>
        <w:ind w:firstLine="390"/>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2.为了保证使用单位对中标供应商提供的设备熟练使用，要求中标供应商负责提供有关相关设备的安装、操作、基本的正确使用常识和使用技巧的培训。</w:t>
      </w:r>
    </w:p>
    <w:p w14:paraId="30530223">
      <w:pPr>
        <w:spacing w:line="360" w:lineRule="auto"/>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六、投标报价要求</w:t>
      </w:r>
    </w:p>
    <w:p w14:paraId="48FD507A">
      <w:pPr>
        <w:spacing w:line="360" w:lineRule="auto"/>
        <w:ind w:firstLine="482" w:firstLineChars="200"/>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★1.投标人须以人民币报价且总报价应含货物费（含</w:t>
      </w: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LED显示屏备品模组</w:t>
      </w:r>
      <w:r>
        <w:rPr>
          <w:rFonts w:hint="eastAsia" w:ascii="宋体" w:hAnsi="宋体"/>
          <w:b/>
          <w:bCs/>
          <w:color w:val="000000" w:themeColor="text1"/>
          <w:sz w:val="24"/>
          <w:szCs w:val="24"/>
          <w14:textFill>
            <w14:solidFill>
              <w14:schemeClr w14:val="tx1"/>
            </w14:solidFill>
          </w14:textFill>
        </w:rPr>
        <w:t>）、运至采购单位指定地点的运输费、保险费和伴随服务费（包括产品检验检测）、安装调试（包括安装所需的辅材、配件等）费用、</w:t>
      </w:r>
      <w:bookmarkStart w:id="38" w:name="OLE_LINK42"/>
      <w:r>
        <w:rPr>
          <w:rFonts w:hint="eastAsia" w:ascii="宋体" w:hAnsi="宋体"/>
          <w:b/>
          <w:bCs/>
          <w:color w:val="000000" w:themeColor="text1"/>
          <w:sz w:val="24"/>
          <w:szCs w:val="24"/>
          <w14:textFill>
            <w14:solidFill>
              <w14:schemeClr w14:val="tx1"/>
            </w14:solidFill>
          </w14:textFill>
        </w:rPr>
        <w:t>部分LED屏体至拼控处理器的光纤收发器、LED屏配电箱至LED屏体的配管配线（在配管配线实施过程中会涉及部分拆改及修复，投标人应自行勘察现场并根据现场实际情况实施到位）</w:t>
      </w:r>
      <w:bookmarkEnd w:id="38"/>
      <w:r>
        <w:rPr>
          <w:rFonts w:hint="eastAsia" w:ascii="宋体" w:hAnsi="宋体"/>
          <w:b/>
          <w:bCs/>
          <w:color w:val="000000" w:themeColor="text1"/>
          <w:sz w:val="24"/>
          <w:szCs w:val="24"/>
          <w14:textFill>
            <w14:solidFill>
              <w14:schemeClr w14:val="tx1"/>
            </w14:solidFill>
          </w14:textFill>
        </w:rPr>
        <w:t>、培训费用、税收、招标代理服务费及售后服务等一切费用，报价方式为指定目的地价。采购单位不接受有选择的报价。</w:t>
      </w:r>
      <w:r>
        <w:rPr>
          <w:rFonts w:hint="eastAsia" w:cs="仿宋" w:asciiTheme="minorEastAsia" w:hAnsiTheme="minorEastAsia" w:eastAsiaTheme="minorEastAsia"/>
          <w:b/>
          <w:bCs/>
          <w:color w:val="000000" w:themeColor="text1"/>
          <w:sz w:val="24"/>
          <w:szCs w:val="24"/>
          <w14:textFill>
            <w14:solidFill>
              <w14:schemeClr w14:val="tx1"/>
            </w14:solidFill>
          </w14:textFill>
        </w:rPr>
        <w:t>投标人报价中漏报、少报的费用，视为此项费用已隐含在投标响应报价中，中标后不得再向采购单位收取任何费用。</w:t>
      </w:r>
    </w:p>
    <w:p w14:paraId="35F14BAC">
      <w:pPr>
        <w:spacing w:line="360" w:lineRule="auto"/>
        <w:ind w:firstLine="482" w:firstLineChars="200"/>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w:t>
      </w:r>
      <w:r>
        <w:rPr>
          <w:rFonts w:ascii="宋体" w:hAnsi="宋体"/>
          <w:b/>
          <w:bCs/>
          <w:color w:val="000000" w:themeColor="text1"/>
          <w:sz w:val="24"/>
          <w:szCs w:val="24"/>
          <w14:textFill>
            <w14:solidFill>
              <w14:schemeClr w14:val="tx1"/>
            </w14:solidFill>
          </w14:textFill>
        </w:rPr>
        <w:t>2.</w:t>
      </w:r>
      <w:r>
        <w:rPr>
          <w:rFonts w:hint="eastAsia" w:ascii="宋体" w:hAnsi="宋体"/>
          <w:b/>
          <w:bCs/>
          <w:color w:val="000000" w:themeColor="text1"/>
          <w:sz w:val="24"/>
          <w:szCs w:val="24"/>
          <w14:textFill>
            <w14:solidFill>
              <w14:schemeClr w14:val="tx1"/>
            </w14:solidFill>
          </w14:textFill>
        </w:rPr>
        <w:t>本项目采购预算为人民币</w:t>
      </w:r>
      <w:r>
        <w:rPr>
          <w:rFonts w:ascii="宋体" w:hAnsi="宋体"/>
          <w:b/>
          <w:bCs/>
          <w:color w:val="000000" w:themeColor="text1"/>
          <w:sz w:val="24"/>
          <w:szCs w:val="24"/>
          <w14:textFill>
            <w14:solidFill>
              <w14:schemeClr w14:val="tx1"/>
            </w14:solidFill>
          </w14:textFill>
        </w:rPr>
        <w:t>975.7346</w:t>
      </w:r>
      <w:r>
        <w:rPr>
          <w:rFonts w:hint="eastAsia" w:ascii="宋体" w:hAnsi="宋体"/>
          <w:b/>
          <w:bCs/>
          <w:color w:val="000000" w:themeColor="text1"/>
          <w:sz w:val="24"/>
          <w:szCs w:val="24"/>
          <w14:textFill>
            <w14:solidFill>
              <w14:schemeClr w14:val="tx1"/>
            </w14:solidFill>
          </w14:textFill>
        </w:rPr>
        <w:t>万元整</w:t>
      </w:r>
      <w:r>
        <w:rPr>
          <w:rFonts w:ascii="宋体" w:hAnsi="宋体"/>
          <w:b/>
          <w:bCs/>
          <w:color w:val="000000" w:themeColor="text1"/>
          <w:sz w:val="24"/>
          <w:szCs w:val="24"/>
          <w14:textFill>
            <w14:solidFill>
              <w14:schemeClr w14:val="tx1"/>
            </w14:solidFill>
          </w14:textFill>
        </w:rPr>
        <w:t>，</w:t>
      </w:r>
      <w:r>
        <w:rPr>
          <w:rFonts w:hint="eastAsia" w:ascii="宋体" w:hAnsi="宋体"/>
          <w:b/>
          <w:bCs/>
          <w:color w:val="000000" w:themeColor="text1"/>
          <w:spacing w:val="4"/>
          <w:sz w:val="24"/>
          <w:szCs w:val="24"/>
          <w14:textFill>
            <w14:solidFill>
              <w14:schemeClr w14:val="tx1"/>
            </w14:solidFill>
          </w14:textFill>
        </w:rPr>
        <w:t>采购预算为总报价的最高限价，</w:t>
      </w:r>
      <w:r>
        <w:rPr>
          <w:rFonts w:hint="eastAsia" w:ascii="宋体" w:hAnsi="宋体"/>
          <w:b/>
          <w:bCs/>
          <w:color w:val="000000" w:themeColor="text1"/>
          <w:sz w:val="24"/>
          <w:szCs w:val="24"/>
          <w14:textFill>
            <w14:solidFill>
              <w14:schemeClr w14:val="tx1"/>
            </w14:solidFill>
          </w14:textFill>
        </w:rPr>
        <w:t>投标人总报价超过采购预算的属无效投标。</w:t>
      </w:r>
    </w:p>
    <w:p w14:paraId="7DDCABF9">
      <w:pPr>
        <w:spacing w:line="360" w:lineRule="auto"/>
        <w:ind w:firstLine="480" w:firstLineChars="200"/>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3.本次招标为国内招标，投标报价以人民币为货币单位，</w:t>
      </w:r>
      <w:r>
        <w:rPr>
          <w:rFonts w:hint="eastAsia" w:ascii="宋体" w:hAnsi="宋体"/>
          <w:color w:val="000000" w:themeColor="text1"/>
          <w:sz w:val="24"/>
          <w:szCs w:val="24"/>
          <w14:textFill>
            <w14:solidFill>
              <w14:schemeClr w14:val="tx1"/>
            </w14:solidFill>
          </w14:textFill>
        </w:rPr>
        <w:t>报价应分单价、小计、总价</w:t>
      </w:r>
      <w:r>
        <w:rPr>
          <w:rFonts w:hint="eastAsia" w:cs="仿宋" w:asciiTheme="minorEastAsia" w:hAnsiTheme="minorEastAsia" w:eastAsiaTheme="minorEastAsia"/>
          <w:color w:val="000000" w:themeColor="text1"/>
          <w:sz w:val="24"/>
          <w:szCs w:val="24"/>
          <w14:textFill>
            <w14:solidFill>
              <w14:schemeClr w14:val="tx1"/>
            </w14:solidFill>
          </w14:textFill>
        </w:rPr>
        <w:t>。</w:t>
      </w:r>
    </w:p>
    <w:p w14:paraId="2D5197CF">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cs="仿宋" w:asciiTheme="minorEastAsia" w:hAnsiTheme="minorEastAsia" w:eastAsiaTheme="minorEastAsia"/>
          <w:color w:val="000000" w:themeColor="text1"/>
          <w:sz w:val="24"/>
          <w:szCs w:val="24"/>
          <w14:textFill>
            <w14:solidFill>
              <w14:schemeClr w14:val="tx1"/>
            </w14:solidFill>
          </w14:textFill>
        </w:rPr>
        <w:t>投标人必须对招标项目的所有内容进行报价响应。</w:t>
      </w:r>
    </w:p>
    <w:p w14:paraId="2854C345">
      <w:pPr>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5.投标人</w:t>
      </w:r>
      <w:r>
        <w:rPr>
          <w:rFonts w:hint="eastAsia" w:asciiTheme="minorEastAsia" w:hAnsiTheme="minorEastAsia" w:eastAsiaTheme="minorEastAsia"/>
          <w:color w:val="000000" w:themeColor="text1"/>
          <w:spacing w:val="-4"/>
          <w:sz w:val="24"/>
          <w:szCs w:val="24"/>
          <w14:textFill>
            <w14:solidFill>
              <w14:schemeClr w14:val="tx1"/>
            </w14:solidFill>
          </w14:textFill>
        </w:rPr>
        <w:t>对本招标采购只能有一个报价，采购单位不接受有选择的报价</w:t>
      </w:r>
      <w:r>
        <w:rPr>
          <w:rFonts w:hint="eastAsia" w:asciiTheme="minorEastAsia" w:hAnsiTheme="minorEastAsia" w:eastAsiaTheme="minorEastAsia"/>
          <w:color w:val="000000" w:themeColor="text1"/>
          <w:sz w:val="24"/>
          <w:szCs w:val="24"/>
          <w14:textFill>
            <w14:solidFill>
              <w14:schemeClr w14:val="tx1"/>
            </w14:solidFill>
          </w14:textFill>
        </w:rPr>
        <w:t>。</w:t>
      </w:r>
    </w:p>
    <w:p w14:paraId="6798FA3D">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6.投标文件中标明的价格在合同执行过程中是固定不变的，不得以任何理由予以变更。以可变动价格提交的报价将被认为是非实质响应而被拒绝。</w:t>
      </w:r>
    </w:p>
    <w:p w14:paraId="3F721CA1">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w:t>
      </w:r>
      <w:r>
        <w:rPr>
          <w:rFonts w:ascii="宋体" w:hAnsi="宋体"/>
          <w:color w:val="000000" w:themeColor="text1"/>
          <w:sz w:val="24"/>
          <w:szCs w:val="24"/>
          <w14:textFill>
            <w14:solidFill>
              <w14:schemeClr w14:val="tx1"/>
            </w14:solidFill>
          </w14:textFill>
        </w:rPr>
        <w:t>.附件及零配件：投标人应列出备品/备件及附件的清单及价格。</w:t>
      </w:r>
    </w:p>
    <w:p w14:paraId="70978045">
      <w:pPr>
        <w:spacing w:line="360" w:lineRule="auto"/>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七、付款方式及履约保证金</w:t>
      </w:r>
    </w:p>
    <w:p w14:paraId="20FD20C1">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1.付款方式：详见第四章《大宗采购合同》</w:t>
      </w:r>
    </w:p>
    <w:p w14:paraId="4C5FC570">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ascii="宋体" w:hAnsi="宋体"/>
          <w:bCs/>
          <w:color w:val="000000" w:themeColor="text1"/>
          <w:sz w:val="24"/>
          <w:szCs w:val="24"/>
          <w14:textFill>
            <w14:solidFill>
              <w14:schemeClr w14:val="tx1"/>
            </w14:solidFill>
          </w14:textFill>
        </w:rPr>
        <w:t>2</w:t>
      </w:r>
      <w:r>
        <w:rPr>
          <w:rFonts w:hint="eastAsia" w:ascii="宋体" w:hAnsi="宋体"/>
          <w:bCs/>
          <w:color w:val="000000" w:themeColor="text1"/>
          <w:sz w:val="24"/>
          <w:szCs w:val="24"/>
          <w14:textFill>
            <w14:solidFill>
              <w14:schemeClr w14:val="tx1"/>
            </w14:solidFill>
          </w14:textFill>
        </w:rPr>
        <w:t>.</w:t>
      </w:r>
      <w:r>
        <w:rPr>
          <w:rFonts w:ascii="宋体" w:hAnsi="宋体"/>
          <w:bCs/>
          <w:color w:val="000000" w:themeColor="text1"/>
          <w:sz w:val="24"/>
          <w:szCs w:val="24"/>
          <w14:textFill>
            <w14:solidFill>
              <w14:schemeClr w14:val="tx1"/>
            </w14:solidFill>
          </w14:textFill>
        </w:rPr>
        <w:t>履约保证金：</w:t>
      </w:r>
      <w:r>
        <w:rPr>
          <w:rFonts w:hint="eastAsia" w:ascii="宋体" w:hAnsi="宋体"/>
          <w:color w:val="000000" w:themeColor="text1"/>
          <w:sz w:val="24"/>
          <w:szCs w:val="24"/>
          <w14:textFill>
            <w14:solidFill>
              <w14:schemeClr w14:val="tx1"/>
            </w14:solidFill>
          </w14:textFill>
        </w:rPr>
        <w:t>详见第四章《大宗采购合同》</w:t>
      </w:r>
    </w:p>
    <w:p w14:paraId="2C957179">
      <w:pPr>
        <w:widowControl/>
        <w:snapToGrid w:val="0"/>
        <w:spacing w:before="60" w:after="60" w:line="360" w:lineRule="auto"/>
        <w:jc w:val="left"/>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kern w:val="0"/>
          <w:sz w:val="24"/>
          <w:szCs w:val="24"/>
          <w14:textFill>
            <w14:solidFill>
              <w14:schemeClr w14:val="tx1"/>
            </w14:solidFill>
          </w14:textFill>
        </w:rPr>
        <w:t>八、验收条件</w:t>
      </w:r>
    </w:p>
    <w:p w14:paraId="0E01C006">
      <w:pPr>
        <w:widowControl/>
        <w:snapToGrid w:val="0"/>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shd w:val="clear" w:color="auto" w:fill="FFFFFF"/>
          <w14:textFill>
            <w14:solidFill>
              <w14:schemeClr w14:val="tx1"/>
            </w14:solidFill>
          </w14:textFill>
        </w:rPr>
        <w:t>1.中标供应商提供物货的制造标准、安装标准及技术规范等有关资料必须符合相关标准、规范要求。</w:t>
      </w:r>
    </w:p>
    <w:p w14:paraId="1DD9C14F">
      <w:pPr>
        <w:widowControl/>
        <w:snapToGrid w:val="0"/>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2.验收依据：招标文件、投标文件、</w:t>
      </w:r>
      <w:r>
        <w:rPr>
          <w:rFonts w:hint="eastAsia" w:asciiTheme="minorEastAsia" w:hAnsiTheme="minorEastAsia" w:eastAsiaTheme="minorEastAsia" w:cstheme="minorEastAsia"/>
          <w:color w:val="000000" w:themeColor="text1"/>
          <w:kern w:val="0"/>
          <w:sz w:val="24"/>
          <w:szCs w:val="24"/>
          <w:shd w:val="clear" w:color="auto" w:fill="FFFFFF"/>
          <w14:textFill>
            <w14:solidFill>
              <w14:schemeClr w14:val="tx1"/>
            </w14:solidFill>
          </w14:textFill>
        </w:rPr>
        <w:t>合同、制造厂商的产品验收标准</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及国家有关的质量标准规定，均为验收依据。</w:t>
      </w:r>
    </w:p>
    <w:p w14:paraId="31CCCBBC">
      <w:pPr>
        <w:widowControl/>
        <w:snapToGrid w:val="0"/>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shd w:val="clear" w:color="auto" w:fill="FFFFFF"/>
          <w14:textFill>
            <w14:solidFill>
              <w14:schemeClr w14:val="tx1"/>
            </w14:solidFill>
          </w14:textFill>
        </w:rPr>
        <w:t>3.中标供应商应提供货物制造商的出厂检验报告、合格证书。</w:t>
      </w:r>
    </w:p>
    <w:p w14:paraId="5D5060D3">
      <w:pPr>
        <w:widowControl/>
        <w:snapToGrid w:val="0"/>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4.货物验收：设备运抵使用单位处后由双方共同开箱并对照采购清单及技术要求和品牌型号进行验收。</w:t>
      </w:r>
    </w:p>
    <w:p w14:paraId="029D7289">
      <w:pPr>
        <w:widowControl/>
        <w:snapToGrid w:val="0"/>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5.整体验收：中标供应商根据招标要求进行设备安装、调试后，</w:t>
      </w:r>
      <w:r>
        <w:rPr>
          <w:rFonts w:hint="eastAsia" w:asciiTheme="minorEastAsia" w:hAnsiTheme="minorEastAsia" w:eastAsiaTheme="minorEastAsia" w:cstheme="minorEastAsia"/>
          <w:color w:val="000000" w:themeColor="text1"/>
          <w:kern w:val="0"/>
          <w:sz w:val="24"/>
          <w:szCs w:val="24"/>
          <w:shd w:val="clear" w:color="auto" w:fill="FFFFFF"/>
          <w14:textFill>
            <w14:solidFill>
              <w14:schemeClr w14:val="tx1"/>
            </w14:solidFill>
          </w14:textFill>
        </w:rPr>
        <w:t>由使用单位进行使用性能方面的验收。</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使用单位有权委托我国相关具有检验资质的部门、单位、机构针对中标货物的（软硬件）精度、性能进行检验。其检验结果将作为验收标准的组成部分之一。</w:t>
      </w:r>
    </w:p>
    <w:p w14:paraId="13162D59">
      <w:pPr>
        <w:widowControl/>
        <w:snapToGrid w:val="0"/>
        <w:spacing w:line="360" w:lineRule="auto"/>
        <w:ind w:firstLine="480" w:firstLineChars="200"/>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6.验收时中标供应商必须派代表参加。</w:t>
      </w:r>
    </w:p>
    <w:p w14:paraId="48B7CDF5">
      <w:pPr>
        <w:spacing w:line="360" w:lineRule="auto"/>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九、合同签订</w:t>
      </w:r>
    </w:p>
    <w:p w14:paraId="58ED93E7">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1.中标供应商接到中标通知书后20个日历日内，持中标通知书与采购单位签订合同。</w:t>
      </w:r>
    </w:p>
    <w:p w14:paraId="0058C287">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2.招标文件、投标文件均作为合同订立的基础，为合同组成部分。</w:t>
      </w:r>
    </w:p>
    <w:p w14:paraId="124C35B0">
      <w:pPr>
        <w:widowControl/>
        <w:spacing w:line="360" w:lineRule="auto"/>
        <w:ind w:right="-63" w:rightChars="-30"/>
        <w:jc w:val="left"/>
        <w:rPr>
          <w:rFonts w:hint="eastAsia"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十、踏勘内容及要求</w:t>
      </w:r>
    </w:p>
    <w:p w14:paraId="75E72636">
      <w:pPr>
        <w:tabs>
          <w:tab w:val="left" w:pos="5130"/>
        </w:tabs>
        <w:spacing w:line="360" w:lineRule="auto"/>
        <w:ind w:firstLine="480" w:firstLineChars="200"/>
        <w:rPr>
          <w:rFonts w:hint="eastAsia"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1.本项目组织集中现场踏勘，</w:t>
      </w:r>
      <w:r>
        <w:rPr>
          <w:rFonts w:hint="eastAsia" w:ascii="宋体" w:hAnsi="宋体"/>
          <w:color w:val="000000" w:themeColor="text1"/>
          <w:sz w:val="24"/>
          <w14:textFill>
            <w14:solidFill>
              <w14:schemeClr w14:val="tx1"/>
            </w14:solidFill>
          </w14:textFill>
        </w:rPr>
        <w:t>踏勘时间为购标截止后的第一个工作日上午9：00。</w:t>
      </w:r>
      <w:r>
        <w:rPr>
          <w:rFonts w:ascii="宋体" w:hAnsi="宋体"/>
          <w:color w:val="000000" w:themeColor="text1"/>
          <w:sz w:val="24"/>
          <w14:textFill>
            <w14:solidFill>
              <w14:schemeClr w14:val="tx1"/>
            </w14:solidFill>
          </w14:textFill>
        </w:rPr>
        <w:t>投标人可对项目现场及安装环境进行踏勘，以便获取有关编制投标文件和签署合同所涉及现场的资料。投标人应自行承担踏勘现场所发生的费用。</w:t>
      </w:r>
    </w:p>
    <w:p w14:paraId="333C0403">
      <w:pPr>
        <w:tabs>
          <w:tab w:val="left" w:pos="5130"/>
        </w:tabs>
        <w:spacing w:line="360" w:lineRule="auto"/>
        <w:ind w:firstLine="480" w:firstLineChars="200"/>
        <w:rPr>
          <w:rFonts w:hint="eastAsia"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投标人及其人员经过使用单位现场管理人员的允许，可以踏勘为目的进入项目现场，但投标人及其人员不得因此使使用单位及其人员承担有关的责任和蒙受损失。投标人并应对由此次踏勘现场而造成的人员死亡、人身伤害、财产损失、损害以及任何其它损失、损害和引起的费用和开支承担责任。</w:t>
      </w:r>
    </w:p>
    <w:p w14:paraId="18A967B2">
      <w:pPr>
        <w:tabs>
          <w:tab w:val="left" w:pos="5130"/>
        </w:tabs>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t>.使用单位向投标人提供的有关现场的资料和数据，是采购单位现有的能被投标人利用的资料。使用单位及采购单位对投标人做出的理解、推论和结论均不负责任，踏勘联系人及电话：</w:t>
      </w:r>
      <w:r>
        <w:rPr>
          <w:rFonts w:hint="eastAsia" w:ascii="宋体" w:hAnsi="宋体"/>
          <w:color w:val="000000" w:themeColor="text1"/>
          <w:sz w:val="24"/>
          <w14:textFill>
            <w14:solidFill>
              <w14:schemeClr w14:val="tx1"/>
            </w14:solidFill>
          </w14:textFill>
        </w:rPr>
        <w:t xml:space="preserve"> 吴先生 18950111436 </w:t>
      </w:r>
      <w:r>
        <w:rPr>
          <w:rFonts w:ascii="宋体" w:hAnsi="宋体"/>
          <w:color w:val="000000" w:themeColor="text1"/>
          <w:sz w:val="24"/>
          <w14:textFill>
            <w14:solidFill>
              <w14:schemeClr w14:val="tx1"/>
            </w14:solidFill>
          </w14:textFill>
        </w:rPr>
        <w:t>。</w:t>
      </w:r>
    </w:p>
    <w:p w14:paraId="0D61F5F5">
      <w:pPr>
        <w:widowControl/>
        <w:spacing w:line="360" w:lineRule="auto"/>
        <w:ind w:right="-63" w:rightChars="-30"/>
        <w:jc w:val="left"/>
        <w:rPr>
          <w:rFonts w:hint="eastAsia" w:ascii="宋体" w:hAnsi="宋体"/>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十一、其他事项</w:t>
      </w:r>
      <w:r>
        <w:rPr>
          <w:rFonts w:ascii="宋体" w:hAnsi="宋体"/>
          <w:b/>
          <w:color w:val="000000" w:themeColor="text1"/>
          <w:sz w:val="24"/>
          <w:szCs w:val="24"/>
          <w14:textFill>
            <w14:solidFill>
              <w14:schemeClr w14:val="tx1"/>
            </w14:solidFill>
          </w14:textFill>
        </w:rPr>
        <w:t xml:space="preserve"> </w:t>
      </w:r>
    </w:p>
    <w:p w14:paraId="03727CDA">
      <w:pPr>
        <w:spacing w:line="360" w:lineRule="auto"/>
        <w:ind w:firstLine="482" w:firstLineChars="200"/>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w:t>
      </w:r>
      <w:r>
        <w:rPr>
          <w:rFonts w:ascii="宋体" w:hAnsi="宋体"/>
          <w:b/>
          <w:bCs/>
          <w:color w:val="000000" w:themeColor="text1"/>
          <w:sz w:val="24"/>
          <w:szCs w:val="24"/>
          <w14:textFill>
            <w14:solidFill>
              <w14:schemeClr w14:val="tx1"/>
            </w14:solidFill>
          </w14:textFill>
        </w:rPr>
        <w:t>1.交付使用期：</w:t>
      </w:r>
      <w:r>
        <w:rPr>
          <w:rFonts w:hint="eastAsia" w:ascii="宋体" w:hAnsi="宋体"/>
          <w:b/>
          <w:bCs/>
          <w:color w:val="000000" w:themeColor="text1"/>
          <w:sz w:val="24"/>
          <w:szCs w:val="24"/>
          <w14:textFill>
            <w14:solidFill>
              <w14:schemeClr w14:val="tx1"/>
            </w14:solidFill>
          </w14:textFill>
        </w:rPr>
        <w:t>本项目分为两个部分：</w:t>
      </w:r>
      <w:r>
        <w:rPr>
          <w:rFonts w:ascii="宋体" w:hAnsi="宋体"/>
          <w:b/>
          <w:bCs/>
          <w:color w:val="000000" w:themeColor="text1"/>
          <w:sz w:val="24"/>
          <w:szCs w:val="24"/>
          <w14:textFill>
            <w14:solidFill>
              <w14:schemeClr w14:val="tx1"/>
            </w14:solidFill>
          </w14:textFill>
        </w:rPr>
        <w:fldChar w:fldCharType="begin"/>
      </w:r>
      <w:r>
        <w:rPr>
          <w:rFonts w:ascii="宋体" w:hAnsi="宋体"/>
          <w:b/>
          <w:bCs/>
          <w:color w:val="000000" w:themeColor="text1"/>
          <w:sz w:val="24"/>
          <w:szCs w:val="24"/>
          <w14:textFill>
            <w14:solidFill>
              <w14:schemeClr w14:val="tx1"/>
            </w14:solidFill>
          </w14:textFill>
        </w:rPr>
        <w:instrText xml:space="preserve"> </w:instrText>
      </w:r>
      <w:r>
        <w:rPr>
          <w:rFonts w:hint="eastAsia" w:ascii="宋体" w:hAnsi="宋体"/>
          <w:b/>
          <w:bCs/>
          <w:color w:val="000000" w:themeColor="text1"/>
          <w:sz w:val="24"/>
          <w:szCs w:val="24"/>
          <w14:textFill>
            <w14:solidFill>
              <w14:schemeClr w14:val="tx1"/>
            </w14:solidFill>
          </w14:textFill>
        </w:rPr>
        <w:instrText xml:space="preserve">= 1 \* GB3</w:instrText>
      </w:r>
      <w:r>
        <w:rPr>
          <w:rFonts w:ascii="宋体" w:hAnsi="宋体"/>
          <w:b/>
          <w:bCs/>
          <w:color w:val="000000" w:themeColor="text1"/>
          <w:sz w:val="24"/>
          <w:szCs w:val="24"/>
          <w14:textFill>
            <w14:solidFill>
              <w14:schemeClr w14:val="tx1"/>
            </w14:solidFill>
          </w14:textFill>
        </w:rPr>
        <w:instrText xml:space="preserve"> </w:instrText>
      </w:r>
      <w:r>
        <w:rPr>
          <w:rFonts w:ascii="宋体" w:hAnsi="宋体"/>
          <w:b/>
          <w:bCs/>
          <w:color w:val="000000" w:themeColor="text1"/>
          <w:sz w:val="24"/>
          <w:szCs w:val="24"/>
          <w14:textFill>
            <w14:solidFill>
              <w14:schemeClr w14:val="tx1"/>
            </w14:solidFill>
          </w14:textFill>
        </w:rPr>
        <w:fldChar w:fldCharType="separate"/>
      </w:r>
      <w:r>
        <w:rPr>
          <w:rFonts w:hint="eastAsia" w:ascii="宋体" w:hAnsi="宋体"/>
          <w:b/>
          <w:bCs/>
          <w:color w:val="000000" w:themeColor="text1"/>
          <w:sz w:val="24"/>
          <w:szCs w:val="24"/>
          <w14:textFill>
            <w14:solidFill>
              <w14:schemeClr w14:val="tx1"/>
            </w14:solidFill>
          </w14:textFill>
        </w:rPr>
        <w:t>①</w:t>
      </w:r>
      <w:r>
        <w:rPr>
          <w:rFonts w:ascii="宋体" w:hAnsi="宋体"/>
          <w:b/>
          <w:bCs/>
          <w:color w:val="000000" w:themeColor="text1"/>
          <w:sz w:val="24"/>
          <w:szCs w:val="24"/>
          <w14:textFill>
            <w14:solidFill>
              <w14:schemeClr w14:val="tx1"/>
            </w14:solidFill>
          </w14:textFill>
        </w:rPr>
        <w:fldChar w:fldCharType="end"/>
      </w:r>
      <w:r>
        <w:rPr>
          <w:rFonts w:hint="eastAsia" w:ascii="宋体" w:hAnsi="宋体"/>
          <w:b/>
          <w:bCs/>
          <w:color w:val="000000" w:themeColor="text1"/>
          <w:sz w:val="24"/>
          <w:szCs w:val="24"/>
          <w14:textFill>
            <w14:solidFill>
              <w14:schemeClr w14:val="tx1"/>
            </w14:solidFill>
          </w14:textFill>
        </w:rPr>
        <w:t>前言、根本遵循、时代背景、擎画蓝图、科技创新、宏图变胜景、旧貌新颜、笃行致远、尾厅结语等9个布置在二楼的展项，在合同签订后接使用单位的通知之日起12个日历日内完工并按照使用单位的应用需求交付使用单位使用（投标人根据自身情况按最短时间报）。</w:t>
      </w:r>
      <w:r>
        <w:rPr>
          <w:rFonts w:ascii="宋体" w:hAnsi="宋体"/>
          <w:b/>
          <w:bCs/>
          <w:color w:val="000000" w:themeColor="text1"/>
          <w:sz w:val="24"/>
          <w:szCs w:val="24"/>
          <w14:textFill>
            <w14:solidFill>
              <w14:schemeClr w14:val="tx1"/>
            </w14:solidFill>
          </w14:textFill>
        </w:rPr>
        <w:fldChar w:fldCharType="begin"/>
      </w:r>
      <w:r>
        <w:rPr>
          <w:rFonts w:ascii="宋体" w:hAnsi="宋体"/>
          <w:b/>
          <w:bCs/>
          <w:color w:val="000000" w:themeColor="text1"/>
          <w:sz w:val="24"/>
          <w:szCs w:val="24"/>
          <w14:textFill>
            <w14:solidFill>
              <w14:schemeClr w14:val="tx1"/>
            </w14:solidFill>
          </w14:textFill>
        </w:rPr>
        <w:instrText xml:space="preserve"> </w:instrText>
      </w:r>
      <w:r>
        <w:rPr>
          <w:rFonts w:hint="eastAsia" w:ascii="宋体" w:hAnsi="宋体"/>
          <w:b/>
          <w:bCs/>
          <w:color w:val="000000" w:themeColor="text1"/>
          <w:sz w:val="24"/>
          <w:szCs w:val="24"/>
          <w14:textFill>
            <w14:solidFill>
              <w14:schemeClr w14:val="tx1"/>
            </w14:solidFill>
          </w14:textFill>
        </w:rPr>
        <w:instrText xml:space="preserve">= 2 \* GB3</w:instrText>
      </w:r>
      <w:r>
        <w:rPr>
          <w:rFonts w:ascii="宋体" w:hAnsi="宋体"/>
          <w:b/>
          <w:bCs/>
          <w:color w:val="000000" w:themeColor="text1"/>
          <w:sz w:val="24"/>
          <w:szCs w:val="24"/>
          <w14:textFill>
            <w14:solidFill>
              <w14:schemeClr w14:val="tx1"/>
            </w14:solidFill>
          </w14:textFill>
        </w:rPr>
        <w:instrText xml:space="preserve"> </w:instrText>
      </w:r>
      <w:r>
        <w:rPr>
          <w:rFonts w:ascii="宋体" w:hAnsi="宋体"/>
          <w:b/>
          <w:bCs/>
          <w:color w:val="000000" w:themeColor="text1"/>
          <w:sz w:val="24"/>
          <w:szCs w:val="24"/>
          <w14:textFill>
            <w14:solidFill>
              <w14:schemeClr w14:val="tx1"/>
            </w14:solidFill>
          </w14:textFill>
        </w:rPr>
        <w:fldChar w:fldCharType="separate"/>
      </w:r>
      <w:r>
        <w:rPr>
          <w:rFonts w:hint="eastAsia" w:ascii="宋体" w:hAnsi="宋体"/>
          <w:b/>
          <w:bCs/>
          <w:color w:val="000000" w:themeColor="text1"/>
          <w:sz w:val="24"/>
          <w:szCs w:val="24"/>
          <w14:textFill>
            <w14:solidFill>
              <w14:schemeClr w14:val="tx1"/>
            </w14:solidFill>
          </w14:textFill>
        </w:rPr>
        <w:t>②</w:t>
      </w:r>
      <w:r>
        <w:rPr>
          <w:rFonts w:ascii="宋体" w:hAnsi="宋体"/>
          <w:b/>
          <w:bCs/>
          <w:color w:val="000000" w:themeColor="text1"/>
          <w:sz w:val="24"/>
          <w:szCs w:val="24"/>
          <w14:textFill>
            <w14:solidFill>
              <w14:schemeClr w14:val="tx1"/>
            </w14:solidFill>
          </w14:textFill>
        </w:rPr>
        <w:fldChar w:fldCharType="end"/>
      </w:r>
      <w:r>
        <w:rPr>
          <w:rFonts w:hint="eastAsia" w:ascii="宋体" w:hAnsi="宋体"/>
          <w:b/>
          <w:bCs/>
          <w:color w:val="000000" w:themeColor="text1"/>
          <w:sz w:val="24"/>
          <w:szCs w:val="24"/>
          <w14:textFill>
            <w14:solidFill>
              <w14:schemeClr w14:val="tx1"/>
            </w14:solidFill>
          </w14:textFill>
        </w:rPr>
        <w:t>大厦之门、山海之境、总规沙盘等</w:t>
      </w:r>
      <w:r>
        <w:rPr>
          <w:rFonts w:ascii="宋体" w:hAnsi="宋体"/>
          <w:b/>
          <w:bCs/>
          <w:color w:val="000000" w:themeColor="text1"/>
          <w:sz w:val="24"/>
          <w:szCs w:val="24"/>
          <w14:textFill>
            <w14:solidFill>
              <w14:schemeClr w14:val="tx1"/>
            </w14:solidFill>
          </w14:textFill>
        </w:rPr>
        <w:t>3</w:t>
      </w:r>
      <w:r>
        <w:rPr>
          <w:rFonts w:hint="eastAsia" w:ascii="宋体" w:hAnsi="宋体"/>
          <w:b/>
          <w:bCs/>
          <w:color w:val="000000" w:themeColor="text1"/>
          <w:sz w:val="24"/>
          <w:szCs w:val="24"/>
          <w14:textFill>
            <w14:solidFill>
              <w14:schemeClr w14:val="tx1"/>
            </w14:solidFill>
          </w14:textFill>
        </w:rPr>
        <w:t>个布置在一楼展项，在合</w:t>
      </w:r>
      <w:bookmarkStart w:id="39" w:name="OLE_LINK11"/>
      <w:r>
        <w:rPr>
          <w:rFonts w:hint="eastAsia" w:ascii="宋体" w:hAnsi="宋体"/>
          <w:b/>
          <w:bCs/>
          <w:color w:val="000000" w:themeColor="text1"/>
          <w:sz w:val="24"/>
          <w:szCs w:val="24"/>
          <w14:textFill>
            <w14:solidFill>
              <w14:schemeClr w14:val="tx1"/>
            </w14:solidFill>
          </w14:textFill>
        </w:rPr>
        <w:t>同签订</w:t>
      </w:r>
      <w:bookmarkEnd w:id="39"/>
      <w:r>
        <w:rPr>
          <w:rFonts w:hint="eastAsia" w:ascii="宋体" w:hAnsi="宋体"/>
          <w:b/>
          <w:bCs/>
          <w:color w:val="000000" w:themeColor="text1"/>
          <w:sz w:val="24"/>
          <w:szCs w:val="24"/>
          <w14:textFill>
            <w14:solidFill>
              <w14:schemeClr w14:val="tx1"/>
            </w14:solidFill>
          </w14:textFill>
        </w:rPr>
        <w:t>后接使用单位的通知之日起30个日历日内完工并按照使用单位的应用需求交付使用单位使用（投标人根据自身情况按最短时间报）。具体进场时间，以使用单位的通知为准。须提供书面承诺函（格式自拟），否则作无效投标处理。</w:t>
      </w:r>
    </w:p>
    <w:p w14:paraId="1812EEBB">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ascii="宋体" w:hAnsi="宋体"/>
          <w:color w:val="000000" w:themeColor="text1"/>
          <w:sz w:val="24"/>
          <w:szCs w:val="24"/>
          <w14:textFill>
            <w14:solidFill>
              <w14:schemeClr w14:val="tx1"/>
            </w14:solidFill>
          </w14:textFill>
        </w:rPr>
        <w:t>交付地点：</w:t>
      </w:r>
      <w:r>
        <w:rPr>
          <w:rFonts w:hint="eastAsia" w:ascii="宋体" w:hAnsi="宋体"/>
          <w:color w:val="000000" w:themeColor="text1"/>
          <w:sz w:val="24"/>
          <w:szCs w:val="24"/>
          <w14:textFill>
            <w14:solidFill>
              <w14:schemeClr w14:val="tx1"/>
            </w14:solidFill>
          </w14:textFill>
        </w:rPr>
        <w:t>使用单位</w:t>
      </w:r>
      <w:r>
        <w:rPr>
          <w:rFonts w:ascii="宋体" w:hAnsi="宋体"/>
          <w:color w:val="000000" w:themeColor="text1"/>
          <w:sz w:val="24"/>
          <w:szCs w:val="24"/>
          <w14:textFill>
            <w14:solidFill>
              <w14:schemeClr w14:val="tx1"/>
            </w14:solidFill>
          </w14:textFill>
        </w:rPr>
        <w:t>指定的地点。</w:t>
      </w:r>
    </w:p>
    <w:p w14:paraId="00CB214A">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w:t>
      </w:r>
      <w:r>
        <w:rPr>
          <w:rFonts w:ascii="宋体" w:hAnsi="宋体"/>
          <w:color w:val="000000" w:themeColor="text1"/>
          <w:sz w:val="24"/>
          <w:szCs w:val="24"/>
          <w14:textFill>
            <w14:solidFill>
              <w14:schemeClr w14:val="tx1"/>
            </w14:solidFill>
          </w14:textFill>
        </w:rPr>
        <w:t>.投标人提供公司的基本情况、业绩、主要技术人员及资信证明。</w:t>
      </w:r>
    </w:p>
    <w:p w14:paraId="2F80B294">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w:t>
      </w:r>
      <w:r>
        <w:rPr>
          <w:rFonts w:ascii="宋体" w:hAnsi="宋体"/>
          <w:color w:val="000000" w:themeColor="text1"/>
          <w:sz w:val="24"/>
          <w:szCs w:val="24"/>
          <w14:textFill>
            <w14:solidFill>
              <w14:schemeClr w14:val="tx1"/>
            </w14:solidFill>
          </w14:textFill>
        </w:rPr>
        <w:t>.投标人认为有必要提供的其它技术资料。</w:t>
      </w:r>
    </w:p>
    <w:p w14:paraId="17B8C5AE">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w:t>
      </w:r>
      <w:r>
        <w:rPr>
          <w:rFonts w:ascii="宋体" w:hAnsi="宋体"/>
          <w:color w:val="000000" w:themeColor="text1"/>
          <w:sz w:val="24"/>
          <w:szCs w:val="24"/>
          <w14:textFill>
            <w14:solidFill>
              <w14:schemeClr w14:val="tx1"/>
            </w14:solidFill>
          </w14:textFill>
        </w:rPr>
        <w:t>.投标人若有其它方面的特殊功能及优惠条件，可在投标文件中注明。</w:t>
      </w:r>
    </w:p>
    <w:p w14:paraId="464DEC82">
      <w:pPr>
        <w:spacing w:line="360" w:lineRule="auto"/>
        <w:ind w:firstLine="480" w:firstLineChars="200"/>
        <w:rPr>
          <w:rFonts w:hint="eastAsia"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．如</w:t>
      </w:r>
      <w:r>
        <w:rPr>
          <w:rFonts w:hint="eastAsia" w:ascii="宋体" w:hAnsi="宋体"/>
          <w:bCs/>
          <w:color w:val="000000" w:themeColor="text1"/>
          <w:sz w:val="24"/>
          <w:szCs w:val="24"/>
          <w14:textFill>
            <w14:solidFill>
              <w14:schemeClr w14:val="tx1"/>
            </w14:solidFill>
          </w14:textFill>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58C383CA">
      <w:pPr>
        <w:spacing w:line="360" w:lineRule="auto"/>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w:t>
      </w:r>
      <w:r>
        <w:rPr>
          <w:rFonts w:hint="eastAsia" w:ascii="宋体" w:hAnsi="宋体"/>
          <w:b/>
          <w:color w:val="000000" w:themeColor="text1"/>
          <w:sz w:val="24"/>
          <w:szCs w:val="24"/>
          <w14:textFill>
            <w14:solidFill>
              <w14:schemeClr w14:val="tx1"/>
            </w14:solidFill>
          </w14:textFill>
        </w:rPr>
        <w:t>7.投标有效期：投标截止之日起90个日历日。</w:t>
      </w:r>
    </w:p>
    <w:p w14:paraId="09BC1CCF">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8.中标供应商在供货、安装调试及验收过程中若有出现安全事故，其责任及相应的赔偿均由中标供应商自行承担，采购单位及使用单位不承担所有责任及义务。</w:t>
      </w:r>
    </w:p>
    <w:p w14:paraId="2996E808">
      <w:pPr>
        <w:spacing w:line="360" w:lineRule="auto"/>
        <w:rPr>
          <w:rFonts w:hint="eastAsia" w:ascii="宋体" w:hAnsi="宋体" w:cs="宋体"/>
          <w:color w:val="000000" w:themeColor="text1"/>
          <w:sz w:val="24"/>
          <w:szCs w:val="24"/>
          <w14:textFill>
            <w14:solidFill>
              <w14:schemeClr w14:val="tx1"/>
            </w14:solidFill>
          </w14:textFill>
        </w:rPr>
      </w:pPr>
    </w:p>
    <w:p w14:paraId="2DBD9CFE">
      <w:pPr>
        <w:spacing w:line="360" w:lineRule="auto"/>
        <w:jc w:val="center"/>
        <w:rPr>
          <w:rFonts w:hint="eastAsia" w:ascii="宋体" w:hAnsi="宋体" w:cs="宋体"/>
          <w:b/>
          <w:bCs/>
          <w:color w:val="000000" w:themeColor="text1"/>
          <w:sz w:val="24"/>
          <w:szCs w:val="24"/>
          <w14:textFill>
            <w14:solidFill>
              <w14:schemeClr w14:val="tx1"/>
            </w14:solidFill>
          </w14:textFill>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48DB2173">
      <w:pPr>
        <w:numPr>
          <w:ilvl w:val="255"/>
          <w:numId w:val="0"/>
        </w:numPr>
        <w:spacing w:line="360" w:lineRule="auto"/>
        <w:ind w:firstLine="0" w:firstLineChars="0"/>
        <w:jc w:val="cente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第四章</w:t>
      </w:r>
      <w:r>
        <w:rPr>
          <w:rFonts w:hint="default" w:ascii="宋体" w:hAnsi="宋体" w:cs="宋体"/>
          <w:b/>
          <w:color w:val="000000" w:themeColor="text1"/>
          <w:sz w:val="32"/>
          <w:szCs w:val="32"/>
          <w14:textFill>
            <w14:solidFill>
              <w14:schemeClr w14:val="tx1"/>
            </w14:solidFill>
          </w14:textFill>
        </w:rPr>
        <w:t xml:space="preserve">  </w:t>
      </w:r>
      <w:r>
        <w:rPr>
          <w:rFonts w:hint="eastAsia" w:ascii="宋体" w:hAnsi="宋体" w:cs="宋体"/>
          <w:b/>
          <w:color w:val="000000" w:themeColor="text1"/>
          <w:sz w:val="32"/>
          <w:szCs w:val="32"/>
          <w14:textFill>
            <w14:solidFill>
              <w14:schemeClr w14:val="tx1"/>
            </w14:solidFill>
          </w14:textFill>
        </w:rPr>
        <w:t>大宗采购合同</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130B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tcPr>
          <w:p w14:paraId="134A6F5D">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注释： </w:t>
            </w:r>
          </w:p>
          <w:p w14:paraId="42316FE5">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本格式条款仅作为双方签订合同的参考，为阐明各方的权利和义务，经协商可增加新的条款、修改相关条款， 但不得与招标文件、投标文件的实质性内容相背离。</w:t>
            </w:r>
          </w:p>
        </w:tc>
      </w:tr>
    </w:tbl>
    <w:p w14:paraId="562A73D2">
      <w:pPr>
        <w:numPr>
          <w:ilvl w:val="255"/>
          <w:numId w:val="0"/>
        </w:numPr>
        <w:spacing w:line="360" w:lineRule="auto"/>
        <w:rPr>
          <w:rFonts w:hint="eastAsia" w:ascii="宋体" w:hAnsi="宋体" w:cs="宋体"/>
          <w:b/>
          <w:color w:val="000000" w:themeColor="text1"/>
          <w:sz w:val="32"/>
          <w:szCs w:val="32"/>
          <w14:textFill>
            <w14:solidFill>
              <w14:schemeClr w14:val="tx1"/>
            </w14:solidFill>
          </w14:textFill>
        </w:rPr>
      </w:pPr>
    </w:p>
    <w:p w14:paraId="56DB9ECD">
      <w:pPr>
        <w:rPr>
          <w:color w:val="000000" w:themeColor="text1"/>
          <w14:textFill>
            <w14:solidFill>
              <w14:schemeClr w14:val="tx1"/>
            </w14:solidFill>
          </w14:textFill>
        </w:rPr>
      </w:pPr>
    </w:p>
    <w:p w14:paraId="4D05A246">
      <w:pPr>
        <w:spacing w:line="360" w:lineRule="auto"/>
        <w:ind w:left="1321"/>
        <w:jc w:val="cente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XM2026-</w:t>
      </w:r>
      <w:r>
        <w:rPr>
          <w:rFonts w:ascii="宋体" w:hAnsi="宋体" w:cs="宋体"/>
          <w:color w:val="000000" w:themeColor="text1"/>
          <w:sz w:val="24"/>
          <w:szCs w:val="24"/>
          <w14:textFill>
            <w14:solidFill>
              <w14:schemeClr w14:val="tx1"/>
            </w14:solidFill>
          </w14:textFill>
        </w:rPr>
        <w:t>DZ0025</w:t>
      </w:r>
      <w:r>
        <w:rPr>
          <w:rFonts w:hint="eastAsia" w:ascii="宋体" w:hAnsi="宋体" w:cs="宋体"/>
          <w:b/>
          <w:bCs/>
          <w:color w:val="000000" w:themeColor="text1"/>
          <w:sz w:val="24"/>
          <w:szCs w:val="24"/>
          <w14:textFill>
            <w14:solidFill>
              <w14:schemeClr w14:val="tx1"/>
            </w14:solidFill>
          </w14:textFill>
        </w:rPr>
        <w:t>采购合同</w:t>
      </w:r>
    </w:p>
    <w:p w14:paraId="02B68FA3">
      <w:pPr>
        <w:spacing w:line="360" w:lineRule="auto"/>
        <w:ind w:right="480"/>
        <w:jc w:val="center"/>
        <w:rPr>
          <w:rFonts w:hint="eastAsia" w:ascii="宋体" w:hAnsi="宋体" w:cs="宋体"/>
          <w:color w:val="000000" w:themeColor="text1"/>
          <w:sz w:val="24"/>
          <w:szCs w:val="24"/>
          <w14:textFill>
            <w14:solidFill>
              <w14:schemeClr w14:val="tx1"/>
            </w14:solidFill>
          </w14:textFill>
        </w:rPr>
      </w:pPr>
    </w:p>
    <w:p w14:paraId="3141AB64">
      <w:pPr>
        <w:spacing w:line="360" w:lineRule="auto"/>
        <w:ind w:right="480"/>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合同编号：</w:t>
      </w:r>
    </w:p>
    <w:p w14:paraId="3044BF8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买方（采购单位）：厦门万翔网络商务有限公司            签订地点：厦门</w:t>
      </w:r>
    </w:p>
    <w:p w14:paraId="22BB437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卖方（中标/成交供应商）：                                  </w:t>
      </w:r>
    </w:p>
    <w:p w14:paraId="732D89BF">
      <w:pPr>
        <w:spacing w:line="360" w:lineRule="auto"/>
        <w:ind w:right="480"/>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w:t>
      </w:r>
    </w:p>
    <w:p w14:paraId="7ED37E20">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根据买方对</w:t>
      </w:r>
      <w:r>
        <w:rPr>
          <w:rFonts w:hint="eastAsia" w:ascii="宋体" w:hAnsi="宋体" w:cs="宋体"/>
          <w:color w:val="000000" w:themeColor="text1"/>
          <w:sz w:val="24"/>
          <w:szCs w:val="24"/>
          <w:u w:val="single"/>
          <w14:textFill>
            <w14:solidFill>
              <w14:schemeClr w14:val="tx1"/>
            </w14:solidFill>
          </w14:textFill>
        </w:rPr>
        <w:t>厦门规划展览馆升级改造工程（LED采购）</w:t>
      </w:r>
      <w:r>
        <w:rPr>
          <w:rFonts w:hint="eastAsia" w:ascii="宋体" w:hAnsi="宋体" w:cs="宋体"/>
          <w:color w:val="000000" w:themeColor="text1"/>
          <w:sz w:val="24"/>
          <w:szCs w:val="24"/>
          <w14:textFill>
            <w14:solidFill>
              <w14:schemeClr w14:val="tx1"/>
            </w14:solidFill>
          </w14:textFill>
        </w:rPr>
        <w:t>进行采购（招标/项目编号：</w:t>
      </w:r>
      <w:r>
        <w:rPr>
          <w:rFonts w:ascii="宋体" w:hAnsi="宋体" w:cs="宋体"/>
          <w:color w:val="000000" w:themeColor="text1"/>
          <w:sz w:val="24"/>
          <w:szCs w:val="24"/>
          <w14:textFill>
            <w14:solidFill>
              <w14:schemeClr w14:val="tx1"/>
            </w14:solidFill>
          </w14:textFill>
        </w:rPr>
        <w:t>XM2026-DZ0025</w:t>
      </w:r>
      <w:r>
        <w:rPr>
          <w:rFonts w:hint="eastAsia" w:ascii="宋体" w:hAnsi="宋体" w:cs="宋体"/>
          <w:color w:val="000000" w:themeColor="text1"/>
          <w:sz w:val="24"/>
          <w:szCs w:val="24"/>
          <w14:textFill>
            <w14:solidFill>
              <w14:schemeClr w14:val="tx1"/>
            </w14:solidFill>
          </w14:textFill>
        </w:rPr>
        <w:t>）的采购结果，现依照招标/采购文件、投标/报价文件及有关法律、法规、规章规定的内容，双方达成如下协议：</w:t>
      </w:r>
    </w:p>
    <w:p w14:paraId="5C8E238E">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1、合同标的物和合同价格：</w:t>
      </w:r>
    </w:p>
    <w:tbl>
      <w:tblPr>
        <w:tblStyle w:val="11"/>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75971CD6">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612D5EED">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品名</w:t>
            </w:r>
          </w:p>
        </w:tc>
        <w:tc>
          <w:tcPr>
            <w:tcW w:w="2205" w:type="dxa"/>
            <w:tcBorders>
              <w:top w:val="single" w:color="auto" w:sz="4" w:space="0"/>
              <w:left w:val="nil"/>
              <w:bottom w:val="single" w:color="auto" w:sz="4" w:space="0"/>
              <w:right w:val="single" w:color="auto" w:sz="4" w:space="0"/>
            </w:tcBorders>
            <w:vAlign w:val="center"/>
          </w:tcPr>
          <w:p w14:paraId="7C4A26E0">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规格</w:t>
            </w:r>
          </w:p>
        </w:tc>
        <w:tc>
          <w:tcPr>
            <w:tcW w:w="1881" w:type="dxa"/>
            <w:tcBorders>
              <w:top w:val="single" w:color="auto" w:sz="4" w:space="0"/>
              <w:left w:val="nil"/>
              <w:bottom w:val="single" w:color="auto" w:sz="4" w:space="0"/>
              <w:right w:val="single" w:color="auto" w:sz="4" w:space="0"/>
            </w:tcBorders>
            <w:vAlign w:val="center"/>
          </w:tcPr>
          <w:p w14:paraId="7996899E">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制造商</w:t>
            </w:r>
          </w:p>
        </w:tc>
        <w:tc>
          <w:tcPr>
            <w:tcW w:w="1894" w:type="dxa"/>
            <w:tcBorders>
              <w:top w:val="single" w:color="auto" w:sz="4" w:space="0"/>
              <w:left w:val="nil"/>
              <w:bottom w:val="single" w:color="auto" w:sz="4" w:space="0"/>
              <w:right w:val="single" w:color="auto" w:sz="4" w:space="0"/>
            </w:tcBorders>
            <w:vAlign w:val="center"/>
          </w:tcPr>
          <w:p w14:paraId="11047B85">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数量</w:t>
            </w:r>
          </w:p>
        </w:tc>
        <w:tc>
          <w:tcPr>
            <w:tcW w:w="1321" w:type="dxa"/>
            <w:tcBorders>
              <w:top w:val="single" w:color="auto" w:sz="4" w:space="0"/>
              <w:left w:val="nil"/>
              <w:bottom w:val="single" w:color="auto" w:sz="4" w:space="0"/>
              <w:right w:val="single" w:color="auto" w:sz="4" w:space="0"/>
            </w:tcBorders>
            <w:vAlign w:val="center"/>
          </w:tcPr>
          <w:p w14:paraId="55DEE9D1">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合同总价，金额（元）</w:t>
            </w:r>
          </w:p>
        </w:tc>
      </w:tr>
      <w:tr w14:paraId="00C45A90">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3286D46B">
            <w:pPr>
              <w:widowControl/>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LED显示屏</w:t>
            </w:r>
          </w:p>
        </w:tc>
        <w:tc>
          <w:tcPr>
            <w:tcW w:w="2205" w:type="dxa"/>
            <w:tcBorders>
              <w:top w:val="nil"/>
              <w:left w:val="nil"/>
              <w:bottom w:val="single" w:color="auto" w:sz="4" w:space="0"/>
              <w:right w:val="single" w:color="auto" w:sz="4" w:space="0"/>
            </w:tcBorders>
            <w:vAlign w:val="center"/>
          </w:tcPr>
          <w:p w14:paraId="35786A4F">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881" w:type="dxa"/>
            <w:tcBorders>
              <w:top w:val="nil"/>
              <w:left w:val="single" w:color="auto" w:sz="4" w:space="0"/>
              <w:bottom w:val="single" w:color="auto" w:sz="4" w:space="0"/>
              <w:right w:val="single" w:color="auto" w:sz="4" w:space="0"/>
            </w:tcBorders>
            <w:vAlign w:val="center"/>
          </w:tcPr>
          <w:p w14:paraId="7907FF9B">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894" w:type="dxa"/>
            <w:tcBorders>
              <w:top w:val="nil"/>
              <w:left w:val="nil"/>
              <w:bottom w:val="single" w:color="auto" w:sz="4" w:space="0"/>
              <w:right w:val="single" w:color="auto" w:sz="4" w:space="0"/>
            </w:tcBorders>
            <w:vAlign w:val="center"/>
          </w:tcPr>
          <w:p w14:paraId="3386F6E6">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1批（详见附件</w:t>
            </w:r>
            <w:r>
              <w:rPr>
                <w:rFonts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供货清单</w:t>
            </w:r>
            <w:r>
              <w:rPr>
                <w:rFonts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w:t>
            </w:r>
          </w:p>
        </w:tc>
        <w:tc>
          <w:tcPr>
            <w:tcW w:w="1321" w:type="dxa"/>
            <w:tcBorders>
              <w:top w:val="nil"/>
              <w:left w:val="nil"/>
              <w:bottom w:val="single" w:color="auto" w:sz="4" w:space="0"/>
              <w:right w:val="single" w:color="auto" w:sz="4" w:space="0"/>
            </w:tcBorders>
            <w:vAlign w:val="center"/>
          </w:tcPr>
          <w:p w14:paraId="2B296034">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w:t>
            </w:r>
          </w:p>
        </w:tc>
      </w:tr>
      <w:tr w14:paraId="4D10F9D0">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683CD86C">
            <w:pPr>
              <w:widowControl/>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 xml:space="preserve">中标总价：     </w:t>
            </w:r>
            <w:r>
              <w:rPr>
                <w:rFonts w:hint="eastAsia" w:ascii="宋体" w:hAnsi="宋体" w:cs="宋体"/>
                <w:b/>
                <w:color w:val="000000" w:themeColor="text1"/>
                <w:sz w:val="24"/>
                <w:szCs w:val="24"/>
                <w14:textFill>
                  <w14:solidFill>
                    <w14:schemeClr w14:val="tx1"/>
                  </w14:solidFill>
                </w14:textFill>
              </w:rPr>
              <w:t xml:space="preserve">￥元（   </w:t>
            </w:r>
            <w:r>
              <w:rPr>
                <w:rFonts w:hint="eastAsia" w:ascii="宋体" w:hAnsi="宋体" w:cs="宋体"/>
                <w:color w:val="000000" w:themeColor="text1"/>
                <w:kern w:val="0"/>
                <w:sz w:val="24"/>
                <w:szCs w:val="24"/>
                <w14:textFill>
                  <w14:solidFill>
                    <w14:schemeClr w14:val="tx1"/>
                  </w14:solidFill>
                </w14:textFill>
              </w:rPr>
              <w:t>元整</w:t>
            </w:r>
            <w:r>
              <w:rPr>
                <w:rFonts w:hint="eastAsia" w:ascii="宋体" w:hAnsi="宋体" w:cs="宋体"/>
                <w:b/>
                <w:color w:val="000000" w:themeColor="text1"/>
                <w:sz w:val="24"/>
                <w:szCs w:val="24"/>
                <w14:textFill>
                  <w14:solidFill>
                    <w14:schemeClr w14:val="tx1"/>
                  </w14:solidFill>
                </w14:textFill>
              </w:rPr>
              <w:t>），</w:t>
            </w:r>
            <w:r>
              <w:rPr>
                <w:rFonts w:hint="eastAsia" w:ascii="宋体" w:hAnsi="宋体" w:cs="宋体"/>
                <w:bCs/>
                <w:color w:val="000000" w:themeColor="text1"/>
                <w:sz w:val="24"/>
                <w:szCs w:val="24"/>
                <w14:textFill>
                  <w14:solidFill>
                    <w14:schemeClr w14:val="tx1"/>
                  </w14:solidFill>
                </w14:textFill>
              </w:rPr>
              <w:t>货物安装完成后的保修等售后服务由卖方与使用单位另行签订服务合同单独约定，与本合同各自独立履行、互不影响。</w:t>
            </w:r>
          </w:p>
        </w:tc>
      </w:tr>
      <w:tr w14:paraId="11B0E9DF">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542B3D0C">
            <w:pPr>
              <w:widowControl/>
              <w:spacing w:line="360" w:lineRule="auto"/>
              <w:jc w:val="left"/>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备注说明： 本项目使用单位（最终用户）：厦门市国土空间和交通研究中心（厦门规划展览馆）</w:t>
            </w:r>
            <w:r>
              <w:rPr>
                <w:rFonts w:hint="eastAsia" w:ascii="宋体" w:hAnsi="宋体" w:cs="宋体"/>
                <w:b/>
                <w:color w:val="000000" w:themeColor="text1"/>
                <w:sz w:val="24"/>
                <w:szCs w:val="24"/>
                <w:u w:val="single"/>
                <w14:textFill>
                  <w14:solidFill>
                    <w14:schemeClr w14:val="tx1"/>
                  </w14:solidFill>
                </w14:textFill>
              </w:rPr>
              <w:t>。</w:t>
            </w:r>
          </w:p>
        </w:tc>
      </w:tr>
    </w:tbl>
    <w:p w14:paraId="7F0B3EDC">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2、交货</w:t>
      </w:r>
    </w:p>
    <w:p w14:paraId="4017DF3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2.1交货方式：卖方负责送货到交货地点完成安装，并承担运输过程中发生的一切费用及风险。</w:t>
      </w:r>
    </w:p>
    <w:p w14:paraId="734A54C8">
      <w:pPr>
        <w:spacing w:line="360" w:lineRule="auto"/>
        <w:ind w:firstLine="480" w:firstLineChars="200"/>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2.2交货地点：使用单位指定地点。</w:t>
      </w:r>
    </w:p>
    <w:p w14:paraId="1BF8F71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2.3交付使用期: </w:t>
      </w:r>
    </w:p>
    <w:p w14:paraId="5B20805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2.4到货签收：卖方每批次供货到指定地点后，卖方应当组织使用单位对到货数量、型号等进行清点签收，并向买方提交使用单位签署的到货签收单原件。</w:t>
      </w:r>
    </w:p>
    <w:p w14:paraId="522908B5">
      <w:pPr>
        <w:spacing w:line="360" w:lineRule="auto"/>
        <w:rPr>
          <w:rFonts w:hint="eastAsia" w:ascii="宋体" w:hAnsi="宋体" w:cs="宋体"/>
          <w:bCs/>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3、采购清单：</w:t>
      </w:r>
      <w:r>
        <w:rPr>
          <w:rFonts w:hint="eastAsia" w:ascii="宋体" w:hAnsi="宋体" w:cs="宋体"/>
          <w:bCs/>
          <w:color w:val="000000" w:themeColor="text1"/>
          <w:sz w:val="24"/>
          <w:szCs w:val="24"/>
          <w14:textFill>
            <w14:solidFill>
              <w14:schemeClr w14:val="tx1"/>
            </w14:solidFill>
          </w14:textFill>
        </w:rPr>
        <w:t xml:space="preserve"> 详见附件1“供货清单”。</w:t>
      </w:r>
    </w:p>
    <w:p w14:paraId="7889C468">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4、付款条件、方式与履约保证金</w:t>
      </w:r>
    </w:p>
    <w:p w14:paraId="6472ED09">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4.1履约保证金：</w:t>
      </w:r>
    </w:p>
    <w:p w14:paraId="0E94BD60">
      <w:pPr>
        <w:tabs>
          <w:tab w:val="left" w:pos="5130"/>
        </w:tabs>
        <w:spacing w:line="360" w:lineRule="auto"/>
        <w:ind w:firstLine="480" w:firstLineChars="200"/>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合同签订后7个工作日内，</w:t>
      </w:r>
      <w:r>
        <w:rPr>
          <w:rFonts w:hint="eastAsia" w:ascii="宋体" w:hAnsi="宋体" w:cs="宋体"/>
          <w:color w:val="000000" w:themeColor="text1"/>
          <w:sz w:val="24"/>
          <w:szCs w:val="24"/>
          <w14:textFill>
            <w14:solidFill>
              <w14:schemeClr w14:val="tx1"/>
            </w14:solidFill>
          </w14:textFill>
        </w:rPr>
        <w:t>卖方向买方</w:t>
      </w:r>
      <w:r>
        <w:rPr>
          <w:rFonts w:hint="eastAsia" w:ascii="宋体" w:hAnsi="宋体" w:cs="宋体"/>
          <w:color w:val="000000" w:themeColor="text1"/>
          <w:kern w:val="0"/>
          <w:sz w:val="24"/>
          <w:szCs w:val="24"/>
          <w14:textFill>
            <w14:solidFill>
              <w14:schemeClr w14:val="tx1"/>
            </w14:solidFill>
          </w14:textFill>
        </w:rPr>
        <w:t>支付合同总价的3%作为项目履约保证金，履约保证金可以转账、支票、汇票、本票或金融机构、担保机构出具的保函等形式交纳，且在合同签订时一并提交，质量保证期届满，</w:t>
      </w:r>
      <w:r>
        <w:rPr>
          <w:rFonts w:ascii="宋体" w:hAnsi="宋体"/>
          <w:bCs/>
          <w:color w:val="000000" w:themeColor="text1"/>
          <w:kern w:val="0"/>
          <w:sz w:val="24"/>
          <w:szCs w:val="24"/>
          <w14:textFill>
            <w14:solidFill>
              <w14:schemeClr w14:val="tx1"/>
            </w14:solidFill>
          </w14:textFill>
        </w:rPr>
        <w:t>经</w:t>
      </w:r>
      <w:r>
        <w:rPr>
          <w:rFonts w:hint="eastAsia" w:ascii="宋体" w:hAnsi="宋体"/>
          <w:bCs/>
          <w:color w:val="000000" w:themeColor="text1"/>
          <w:kern w:val="0"/>
          <w:sz w:val="24"/>
          <w:szCs w:val="24"/>
          <w14:textFill>
            <w14:solidFill>
              <w14:schemeClr w14:val="tx1"/>
            </w14:solidFill>
          </w14:textFill>
        </w:rPr>
        <w:t>使用单位</w:t>
      </w:r>
      <w:r>
        <w:rPr>
          <w:rFonts w:ascii="宋体" w:hAnsi="宋体"/>
          <w:bCs/>
          <w:color w:val="000000" w:themeColor="text1"/>
          <w:kern w:val="0"/>
          <w:sz w:val="24"/>
          <w:szCs w:val="24"/>
          <w14:textFill>
            <w14:solidFill>
              <w14:schemeClr w14:val="tx1"/>
            </w14:solidFill>
          </w14:textFill>
        </w:rPr>
        <w:t>书面确认且无合同纠</w:t>
      </w:r>
      <w:r>
        <w:rPr>
          <w:rFonts w:hint="eastAsia" w:ascii="宋体" w:hAnsi="宋体" w:cs="宋体"/>
          <w:color w:val="000000" w:themeColor="text1"/>
          <w:kern w:val="0"/>
          <w:sz w:val="24"/>
          <w:szCs w:val="24"/>
          <w14:textFill>
            <w14:solidFill>
              <w14:schemeClr w14:val="tx1"/>
            </w14:solidFill>
          </w14:textFill>
        </w:rPr>
        <w:t>纷后7个工作日内，向</w:t>
      </w:r>
      <w:r>
        <w:rPr>
          <w:rFonts w:hint="eastAsia" w:ascii="宋体" w:hAnsi="宋体" w:cs="宋体"/>
          <w:color w:val="000000" w:themeColor="text1"/>
          <w:sz w:val="24"/>
          <w:szCs w:val="24"/>
          <w14:textFill>
            <w14:solidFill>
              <w14:schemeClr w14:val="tx1"/>
            </w14:solidFill>
          </w14:textFill>
        </w:rPr>
        <w:t>中标</w:t>
      </w:r>
      <w:r>
        <w:rPr>
          <w:rFonts w:hint="eastAsia" w:ascii="宋体" w:hAnsi="宋体" w:cs="宋体"/>
          <w:color w:val="000000" w:themeColor="text1"/>
          <w:kern w:val="0"/>
          <w:sz w:val="24"/>
          <w:szCs w:val="24"/>
          <w14:textFill>
            <w14:solidFill>
              <w14:schemeClr w14:val="tx1"/>
            </w14:solidFill>
          </w14:textFill>
        </w:rPr>
        <w:t>供应商无息返还合同总价的3%履约保证金。（</w:t>
      </w:r>
      <w:r>
        <w:rPr>
          <w:rFonts w:hint="eastAsia" w:ascii="宋体" w:hAnsi="宋体" w:cs="宋体"/>
          <w:color w:val="000000" w:themeColor="text1"/>
          <w:sz w:val="24"/>
          <w:szCs w:val="24"/>
          <w14:textFill>
            <w14:solidFill>
              <w14:schemeClr w14:val="tx1"/>
            </w14:solidFill>
          </w14:textFill>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r>
        <w:rPr>
          <w:rFonts w:hint="eastAsia" w:ascii="宋体" w:hAnsi="宋体" w:cs="宋体"/>
          <w:color w:val="000000" w:themeColor="text1"/>
          <w:kern w:val="0"/>
          <w:sz w:val="24"/>
          <w:szCs w:val="24"/>
          <w14:textFill>
            <w14:solidFill>
              <w14:schemeClr w14:val="tx1"/>
            </w14:solidFill>
          </w14:textFill>
        </w:rPr>
        <w:t>）</w:t>
      </w:r>
    </w:p>
    <w:p w14:paraId="08B02B5F">
      <w:pPr>
        <w:pStyle w:val="5"/>
        <w:spacing w:line="360" w:lineRule="auto"/>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4.2付款条件</w:t>
      </w:r>
    </w:p>
    <w:p w14:paraId="52A69EB5">
      <w:pPr>
        <w:pStyle w:val="5"/>
        <w:spacing w:line="360" w:lineRule="auto"/>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卖方同意，待买方收到使用单位</w:t>
      </w:r>
      <w:r>
        <w:rPr>
          <w:rFonts w:hAnsi="宋体" w:cs="宋体"/>
          <w:color w:val="000000" w:themeColor="text1"/>
          <w:sz w:val="24"/>
          <w:szCs w:val="24"/>
          <w14:textFill>
            <w14:solidFill>
              <w14:schemeClr w14:val="tx1"/>
            </w14:solidFill>
          </w14:textFill>
        </w:rPr>
        <w:t>足额</w:t>
      </w:r>
      <w:r>
        <w:rPr>
          <w:rFonts w:hint="eastAsia" w:hAnsi="宋体" w:cs="宋体"/>
          <w:color w:val="000000" w:themeColor="text1"/>
          <w:sz w:val="24"/>
          <w:szCs w:val="24"/>
          <w14:textFill>
            <w14:solidFill>
              <w14:schemeClr w14:val="tx1"/>
            </w14:solidFill>
          </w14:textFill>
        </w:rPr>
        <w:t>货款后，买方按“4.3付款方式”约定向卖方付款。</w:t>
      </w:r>
    </w:p>
    <w:p w14:paraId="4F276517">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4.3付款方式</w:t>
      </w:r>
    </w:p>
    <w:p w14:paraId="61C37B46">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4.3.</w:t>
      </w:r>
      <w:bookmarkStart w:id="40" w:name="OLE_LINK1"/>
      <w:r>
        <w:rPr>
          <w:rFonts w:hint="eastAsia" w:ascii="宋体" w:hAnsi="宋体" w:cs="宋体"/>
          <w:color w:val="000000" w:themeColor="text1"/>
          <w:kern w:val="0"/>
          <w:sz w:val="24"/>
          <w:szCs w:val="24"/>
          <w14:textFill>
            <w14:solidFill>
              <w14:schemeClr w14:val="tx1"/>
            </w14:solidFill>
          </w14:textFill>
        </w:rPr>
        <w:t>1合同签订后</w:t>
      </w:r>
      <w:r>
        <w:rPr>
          <w:rFonts w:ascii="宋体" w:hAnsi="宋体" w:cs="宋体"/>
          <w:color w:val="000000" w:themeColor="text1"/>
          <w:sz w:val="24"/>
          <w:szCs w:val="24"/>
          <w14:textFill>
            <w14:solidFill>
              <w14:schemeClr w14:val="tx1"/>
            </w14:solidFill>
          </w14:textFill>
        </w:rPr>
        <w:t>7</w:t>
      </w:r>
      <w:r>
        <w:rPr>
          <w:rFonts w:hint="eastAsia" w:ascii="宋体" w:hAnsi="宋体" w:cs="宋体"/>
          <w:color w:val="000000" w:themeColor="text1"/>
          <w:sz w:val="24"/>
          <w:szCs w:val="24"/>
          <w14:textFill>
            <w14:solidFill>
              <w14:schemeClr w14:val="tx1"/>
            </w14:solidFill>
          </w14:textFill>
        </w:rPr>
        <w:t>个工作日内，</w:t>
      </w:r>
      <w:bookmarkStart w:id="41" w:name="OLE_LINK15"/>
      <w:r>
        <w:rPr>
          <w:rFonts w:hint="eastAsia" w:ascii="宋体" w:hAnsi="宋体" w:cs="宋体"/>
          <w:color w:val="000000" w:themeColor="text1"/>
          <w:sz w:val="24"/>
          <w:szCs w:val="24"/>
          <w14:textFill>
            <w14:solidFill>
              <w14:schemeClr w14:val="tx1"/>
            </w14:solidFill>
          </w14:textFill>
        </w:rPr>
        <w:t>卖方向买方开具等额一般纳税人增值税专用发票（13%税点），买方向卖方支付合同总金额的30%款项作为预付款。</w:t>
      </w:r>
      <w:bookmarkEnd w:id="41"/>
    </w:p>
    <w:bookmarkEnd w:id="40"/>
    <w:p w14:paraId="53EBB899">
      <w:pPr>
        <w:tabs>
          <w:tab w:val="left" w:pos="5130"/>
        </w:tabs>
        <w:spacing w:line="360" w:lineRule="auto"/>
        <w:ind w:firstLine="480" w:firstLineChars="200"/>
        <w:rPr>
          <w:rFonts w:hint="eastAsia" w:ascii="宋体" w:hAnsi="宋体" w:cs="宋体"/>
          <w:color w:val="000000" w:themeColor="text1"/>
          <w:kern w:val="0"/>
          <w:sz w:val="24"/>
          <w:szCs w:val="24"/>
          <w14:textFill>
            <w14:solidFill>
              <w14:schemeClr w14:val="tx1"/>
            </w14:solidFill>
          </w14:textFill>
        </w:rPr>
      </w:pPr>
      <w:bookmarkStart w:id="42" w:name="OLE_LINK24"/>
      <w:r>
        <w:rPr>
          <w:rFonts w:hint="eastAsia" w:ascii="宋体" w:hAnsi="宋体" w:cs="宋体"/>
          <w:color w:val="000000" w:themeColor="text1"/>
          <w:kern w:val="0"/>
          <w:sz w:val="24"/>
          <w:szCs w:val="24"/>
          <w14:textFill>
            <w14:solidFill>
              <w14:schemeClr w14:val="tx1"/>
            </w14:solidFill>
          </w14:textFill>
        </w:rPr>
        <w:t>4.3.2全部设备（详见</w:t>
      </w:r>
      <w:bookmarkStart w:id="43" w:name="OLE_LINK13"/>
      <w:r>
        <w:rPr>
          <w:rFonts w:hint="eastAsia" w:ascii="宋体" w:hAnsi="宋体" w:cs="宋体"/>
          <w:color w:val="000000" w:themeColor="text1"/>
          <w:kern w:val="0"/>
          <w:sz w:val="24"/>
          <w:szCs w:val="24"/>
          <w14:textFill>
            <w14:solidFill>
              <w14:schemeClr w14:val="tx1"/>
            </w14:solidFill>
          </w14:textFill>
        </w:rPr>
        <w:t>附件1：供货清单）进场并签收后，</w:t>
      </w:r>
      <w:bookmarkStart w:id="44" w:name="OLE_LINK12"/>
      <w:r>
        <w:rPr>
          <w:rFonts w:hint="eastAsia" w:ascii="宋体" w:hAnsi="宋体" w:cs="宋体"/>
          <w:color w:val="000000" w:themeColor="text1"/>
          <w:kern w:val="0"/>
          <w:sz w:val="24"/>
          <w:szCs w:val="24"/>
          <w14:textFill>
            <w14:solidFill>
              <w14:schemeClr w14:val="tx1"/>
            </w14:solidFill>
          </w14:textFill>
        </w:rPr>
        <w:t>卖方向买方开具等额</w:t>
      </w:r>
      <w:r>
        <w:rPr>
          <w:rFonts w:hint="eastAsia" w:ascii="宋体" w:hAnsi="宋体" w:cs="宋体"/>
          <w:color w:val="000000" w:themeColor="text1"/>
          <w:sz w:val="24"/>
          <w:szCs w:val="24"/>
          <w14:textFill>
            <w14:solidFill>
              <w14:schemeClr w14:val="tx1"/>
            </w14:solidFill>
          </w14:textFill>
        </w:rPr>
        <w:t>一般纳税人增值税专用发票（13%税点）</w:t>
      </w:r>
      <w:r>
        <w:rPr>
          <w:rFonts w:hint="eastAsia" w:ascii="宋体" w:hAnsi="宋体" w:cs="宋体"/>
          <w:color w:val="000000" w:themeColor="text1"/>
          <w:kern w:val="0"/>
          <w:sz w:val="24"/>
          <w:szCs w:val="24"/>
          <w14:textFill>
            <w14:solidFill>
              <w14:schemeClr w14:val="tx1"/>
            </w14:solidFill>
          </w14:textFill>
        </w:rPr>
        <w:t>，</w:t>
      </w:r>
      <w:bookmarkEnd w:id="44"/>
      <w:r>
        <w:rPr>
          <w:rFonts w:hint="eastAsia" w:ascii="宋体" w:hAnsi="宋体" w:cs="宋体"/>
          <w:color w:val="000000" w:themeColor="text1"/>
          <w:kern w:val="0"/>
          <w:sz w:val="24"/>
          <w:szCs w:val="24"/>
          <w14:textFill>
            <w14:solidFill>
              <w14:schemeClr w14:val="tx1"/>
            </w14:solidFill>
          </w14:textFill>
        </w:rPr>
        <w:t>买方向</w:t>
      </w:r>
      <w:bookmarkEnd w:id="43"/>
      <w:r>
        <w:rPr>
          <w:rFonts w:hint="eastAsia" w:ascii="宋体" w:hAnsi="宋体" w:cs="宋体"/>
          <w:color w:val="000000" w:themeColor="text1"/>
          <w:kern w:val="0"/>
          <w:sz w:val="24"/>
          <w:szCs w:val="24"/>
          <w14:textFill>
            <w14:solidFill>
              <w14:schemeClr w14:val="tx1"/>
            </w14:solidFill>
          </w14:textFill>
        </w:rPr>
        <w:t>卖方支付合同总金额的40%款项。</w:t>
      </w:r>
    </w:p>
    <w:bookmarkEnd w:id="42"/>
    <w:p w14:paraId="2444323C">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4.3.3</w:t>
      </w:r>
      <w:r>
        <w:rPr>
          <w:rFonts w:hint="eastAsia" w:ascii="宋体" w:hAnsi="宋体" w:cs="宋体"/>
          <w:color w:val="000000" w:themeColor="text1"/>
          <w:sz w:val="24"/>
          <w:szCs w:val="24"/>
          <w14:textFill>
            <w14:solidFill>
              <w14:schemeClr w14:val="tx1"/>
            </w14:solidFill>
          </w14:textFill>
        </w:rPr>
        <w:t>卖方供货安装、调试完毕，使用单位验收合格后，</w:t>
      </w:r>
      <w:r>
        <w:rPr>
          <w:rFonts w:hint="eastAsia" w:ascii="宋体" w:hAnsi="宋体" w:cs="宋体"/>
          <w:color w:val="000000" w:themeColor="text1"/>
          <w:kern w:val="0"/>
          <w:sz w:val="24"/>
          <w:szCs w:val="24"/>
          <w14:textFill>
            <w14:solidFill>
              <w14:schemeClr w14:val="tx1"/>
            </w14:solidFill>
          </w14:textFill>
        </w:rPr>
        <w:t>卖方向买方开具等额</w:t>
      </w:r>
      <w:r>
        <w:rPr>
          <w:rFonts w:hint="eastAsia" w:ascii="宋体" w:hAnsi="宋体" w:cs="宋体"/>
          <w:color w:val="000000" w:themeColor="text1"/>
          <w:sz w:val="24"/>
          <w:szCs w:val="24"/>
          <w14:textFill>
            <w14:solidFill>
              <w14:schemeClr w14:val="tx1"/>
            </w14:solidFill>
          </w14:textFill>
        </w:rPr>
        <w:t>一般纳税人增值税专用发票（13%税点）</w:t>
      </w:r>
      <w:r>
        <w:rPr>
          <w:rFonts w:hint="eastAsia" w:ascii="宋体" w:hAnsi="宋体" w:cs="宋体"/>
          <w:color w:val="000000" w:themeColor="text1"/>
          <w:kern w:val="0"/>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连同《</w:t>
      </w:r>
      <w:r>
        <w:rPr>
          <w:rFonts w:ascii="宋体" w:hAnsi="宋体" w:cs="宋体"/>
          <w:color w:val="000000" w:themeColor="text1"/>
          <w:sz w:val="24"/>
          <w:szCs w:val="24"/>
          <w14:textFill>
            <w14:solidFill>
              <w14:schemeClr w14:val="tx1"/>
            </w14:solidFill>
          </w14:textFill>
        </w:rPr>
        <w:t>厦门市大宗货物政府采购供货验收单</w:t>
      </w: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（附件2）</w:t>
      </w:r>
      <w:r>
        <w:rPr>
          <w:rFonts w:hint="eastAsia" w:ascii="宋体" w:hAnsi="宋体" w:cs="宋体"/>
          <w:color w:val="000000" w:themeColor="text1"/>
          <w:sz w:val="24"/>
          <w:szCs w:val="24"/>
          <w14:textFill>
            <w14:solidFill>
              <w14:schemeClr w14:val="tx1"/>
            </w14:solidFill>
          </w14:textFill>
        </w:rPr>
        <w:t>、全部货物清单、卖方与使用单位签订的《售后服务合同》一份交给买方，买方在7个工作日内向卖方支付本合同总价30%的款项。</w:t>
      </w:r>
    </w:p>
    <w:p w14:paraId="09ACAE23">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5、技术资料：</w:t>
      </w:r>
    </w:p>
    <w:p w14:paraId="2AEE965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5.1卖方应在交付使用时向使用单位提供配套资料1套。</w:t>
      </w:r>
    </w:p>
    <w:p w14:paraId="22A2FF1D">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5.2卖方在交货时应向使用单位提供货物的相关手续，包括品牌证书、装箱清单含货物的主附件、原产地证明书、品质保证书、出厂检验报告、合格证书、使用及维护说明书等。</w:t>
      </w:r>
    </w:p>
    <w:p w14:paraId="0246141F">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6、验收</w:t>
      </w:r>
    </w:p>
    <w:p w14:paraId="48FE99C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6.1合同货物到达交货地点且卖方完成安装工作后，买卖双方同意，合同货物由使用单位验收并以使用单位的验收意见为准。合同货物安装后经使用单位验收合格视为最终验收合格。</w:t>
      </w:r>
    </w:p>
    <w:p w14:paraId="5CBC5EE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6.2合同货物验收时，由使用单位签署《</w:t>
      </w:r>
      <w:r>
        <w:rPr>
          <w:rFonts w:ascii="宋体" w:hAnsi="宋体" w:cs="宋体"/>
          <w:color w:val="000000" w:themeColor="text1"/>
          <w:sz w:val="24"/>
          <w:szCs w:val="24"/>
          <w14:textFill>
            <w14:solidFill>
              <w14:schemeClr w14:val="tx1"/>
            </w14:solidFill>
          </w14:textFill>
        </w:rPr>
        <w:t>厦门市大宗货物政府采购供货验收单</w:t>
      </w: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（附件2）</w:t>
      </w:r>
      <w:r>
        <w:rPr>
          <w:rFonts w:hint="eastAsia" w:ascii="宋体" w:hAnsi="宋体" w:cs="宋体"/>
          <w:color w:val="000000" w:themeColor="text1"/>
          <w:sz w:val="24"/>
          <w:szCs w:val="24"/>
          <w14:textFill>
            <w14:solidFill>
              <w14:schemeClr w14:val="tx1"/>
            </w14:solidFill>
          </w14:textFill>
        </w:rPr>
        <w:t>。</w:t>
      </w:r>
    </w:p>
    <w:p w14:paraId="32BEE19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6.3卖方应派代表参与验收过程，卖方未派代表参与或对验收意见有异议但未在验收完成后3个工作日内书面提出的，视为卖方对验收意见无异议。</w:t>
      </w:r>
    </w:p>
    <w:p w14:paraId="42E3317D">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6.4最终验收合格后，卖方应在使用单位要求的时间内直接交付使用单位使用。合同货物交付使用前由卖方负责保管，合同货物的毁损或灭失风险由卖方承担。</w:t>
      </w:r>
    </w:p>
    <w:p w14:paraId="1F9638C0">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7、售后服务</w:t>
      </w:r>
    </w:p>
    <w:p w14:paraId="119CEFDA">
      <w:pPr>
        <w:tabs>
          <w:tab w:val="left" w:pos="0"/>
        </w:tabs>
        <w:adjustRightInd w:val="0"/>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货物验收后的维修等售后服务由卖方直接向使用单位提供，卖方应就货物售后服务与使用单位另行签订相应服务合同，买方不向使用单位承担售后服务义务。</w:t>
      </w:r>
    </w:p>
    <w:p w14:paraId="39424651">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8、知识产权</w:t>
      </w:r>
    </w:p>
    <w:p w14:paraId="2421CF24">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2F584CE5">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9、违约责任</w:t>
      </w:r>
    </w:p>
    <w:p w14:paraId="29825FD9">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9.1卖方未能按时交货或未能按时交付使用的，每逾期一日，卖方应支付逾期交货货款千分之一的违约金。逾期超过10个日历日，买方有权单方解除本合同，卖方应另外支付合同总价20％的违约金。</w:t>
      </w:r>
    </w:p>
    <w:p w14:paraId="630B34F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9.2合同货物验收不合格的，买方有权选择解除合同或换货。如买方选择换货，卖方重新供货导致的交货期延迟的，按9.1条处理；若买方选择单方解除合同的，卖方支付合同总价20%的违约金。</w:t>
      </w:r>
    </w:p>
    <w:p w14:paraId="244388F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9.3</w:t>
      </w:r>
      <w:r>
        <w:rPr>
          <w:rFonts w:hint="eastAsia" w:ascii="宋体" w:hAnsi="宋体" w:cs="宋体"/>
          <w:bCs/>
          <w:color w:val="000000" w:themeColor="text1"/>
          <w:kern w:val="0"/>
          <w:sz w:val="24"/>
          <w:szCs w:val="24"/>
          <w14:textFill>
            <w14:solidFill>
              <w14:schemeClr w14:val="tx1"/>
            </w14:solidFill>
          </w14:textFill>
        </w:rPr>
        <w:t>卖方应保证提供原产、正宗品牌货物，不得用伪劣货物替代。否则，如</w:t>
      </w:r>
      <w:r>
        <w:rPr>
          <w:rFonts w:hint="eastAsia" w:ascii="宋体" w:hAnsi="宋体" w:cs="宋体"/>
          <w:color w:val="000000" w:themeColor="text1"/>
          <w:sz w:val="24"/>
          <w:szCs w:val="24"/>
          <w14:textFill>
            <w14:solidFill>
              <w14:schemeClr w14:val="tx1"/>
            </w14:solidFill>
          </w14:textFill>
        </w:rPr>
        <w:t>在合同货物最终验收合格前发现的，按9.2条处理；在合同货物最终验收合格后发现的，买方有权退货，卖方应另外向买方支付合同总价20％的违约金。</w:t>
      </w:r>
    </w:p>
    <w:p w14:paraId="1C964951">
      <w:pPr>
        <w:spacing w:line="360" w:lineRule="auto"/>
        <w:ind w:firstLine="480" w:firstLineChars="200"/>
        <w:rPr>
          <w:rFonts w:hint="eastAsia"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9.4在生产过程或验收过程中发现卖方对中标货物进行分包、转包，买方有权单方解除合同并有权拒付全部货款。</w:t>
      </w:r>
    </w:p>
    <w:p w14:paraId="379D2A7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9.5卖方有虚报各项技术指标等</w:t>
      </w:r>
      <w:r>
        <w:rPr>
          <w:rFonts w:hint="eastAsia" w:ascii="宋体" w:hAnsi="宋体" w:cs="宋体"/>
          <w:color w:val="000000" w:themeColor="text1"/>
          <w:sz w:val="24"/>
          <w:szCs w:val="24"/>
          <w14:textFill>
            <w14:solidFill>
              <w14:schemeClr w14:val="tx1"/>
            </w14:solidFill>
          </w14:textFill>
        </w:rPr>
        <w:t>弄虚作假、隐瞒事实内容等情形</w:t>
      </w:r>
      <w:r>
        <w:rPr>
          <w:rFonts w:hint="eastAsia" w:ascii="宋体" w:hAnsi="宋体" w:cs="宋体"/>
          <w:bCs/>
          <w:color w:val="000000" w:themeColor="text1"/>
          <w:kern w:val="0"/>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在合同货物最终验收合格前发现的，按9.2条处理；在合同货物最终验收合格后发现的，买方有权退货，卖方应另外向买方支付合同总价20％的违约金。</w:t>
      </w:r>
    </w:p>
    <w:p w14:paraId="04B3F022">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9.6买方根据本合同约定提出换货、退货或解除合同的、或因卖方原因导致退换货的，卖方应在收到买方或使用单位通知后7个工作日内自行收回需退换货的货物，并承担退换货所需的一切费用。如卖方未在规定时间内收回货物，买方不对上述货物的灭失或损坏承担任何责任。如卖方7个日历日未收回的，买方有权自行处理上述货物。</w:t>
      </w:r>
    </w:p>
    <w:p w14:paraId="5A0E060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9.7除本合同另有约定外，在买方发出的违约通知后30天内仍未纠正其任何一种违约行为，买方有权单方解除本合同，卖方除应退还买方已支付的款项外，还应向买方支付合同总价20％的违约金。</w:t>
      </w:r>
    </w:p>
    <w:p w14:paraId="00AD1E84">
      <w:pPr>
        <w:spacing w:line="360" w:lineRule="auto"/>
        <w:ind w:firstLine="460" w:firstLineChars="192"/>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9.8本合同约定的违约金无法弥补买方损失的，卖方应继续承担相应的赔偿责任。买方有权直接从未付的款项中扣除卖方根据本合同约定应付未付的违约金、赔偿金等。</w:t>
      </w:r>
    </w:p>
    <w:p w14:paraId="744A0557">
      <w:pPr>
        <w:spacing w:line="360" w:lineRule="auto"/>
        <w:ind w:firstLine="460" w:firstLineChars="192"/>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9.9卖方未履行其向使用单位应履行的售后服务义务，使买方代为履行并产生实际损失的，卖方应予以赔偿。赔偿费用包含但不限于维修费、配件费、人工费、交通费、装卸搬运费</w:t>
      </w:r>
      <w:r>
        <w:rPr>
          <w:rFonts w:ascii="宋体" w:hAnsi="宋体" w:cs="宋体"/>
          <w:color w:val="000000" w:themeColor="text1"/>
          <w:sz w:val="24"/>
          <w:szCs w:val="24"/>
          <w14:textFill>
            <w14:solidFill>
              <w14:schemeClr w14:val="tx1"/>
            </w14:solidFill>
          </w14:textFill>
        </w:rPr>
        <w:t>等</w:t>
      </w:r>
      <w:r>
        <w:rPr>
          <w:rFonts w:hint="eastAsia" w:ascii="宋体" w:hAnsi="宋体" w:cs="宋体"/>
          <w:color w:val="000000" w:themeColor="text1"/>
          <w:sz w:val="24"/>
          <w:szCs w:val="24"/>
          <w14:textFill>
            <w14:solidFill>
              <w14:schemeClr w14:val="tx1"/>
            </w14:solidFill>
          </w14:textFill>
        </w:rPr>
        <w:t>或其他买方为维护自身权益而付出的合理费用。</w:t>
      </w:r>
    </w:p>
    <w:p w14:paraId="613182DB">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10、不可抗力</w:t>
      </w:r>
    </w:p>
    <w:p w14:paraId="5E2D21E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2EEE877">
      <w:pPr>
        <w:spacing w:line="360" w:lineRule="auto"/>
        <w:ind w:firstLine="470" w:firstLineChars="196"/>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10.2本合同中的不可抗力指不能预见、不能避免并不能克服的客观情况。包括但不限于：自然灾害如地震、台风、洪水、火灾；政府行为、法律规定或其适用的变化或者其他任何无法预见、避免或者控制的事件。</w:t>
      </w:r>
    </w:p>
    <w:p w14:paraId="55B2ADBE">
      <w:pPr>
        <w:spacing w:line="360" w:lineRule="auto"/>
        <w:ind w:firstLine="470" w:firstLineChars="196"/>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10.3当事人一方因不可抗力的原因不能履行合同的，应及时通知对方，以减轻可能给对方造成的损失，并应当在合理期限内提供证明。</w:t>
      </w:r>
    </w:p>
    <w:p w14:paraId="17F1E844">
      <w:pPr>
        <w:spacing w:line="360" w:lineRule="auto"/>
        <w:rPr>
          <w:rFonts w:hint="eastAsia" w:ascii="宋体" w:hAnsi="宋体" w:cs="宋体"/>
          <w:b/>
          <w:bCs/>
          <w:color w:val="000000" w:themeColor="text1"/>
          <w:kern w:val="0"/>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11、合同纠纷处理方式</w:t>
      </w:r>
    </w:p>
    <w:p w14:paraId="166540C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因本合同或与本合同有关的一切事项发生争议，由双方友好协商解决。协商不成的，任何一方均可向</w:t>
      </w:r>
      <w:r>
        <w:rPr>
          <w:rFonts w:ascii="宋体" w:hAnsi="宋体" w:cs="宋体"/>
          <w:color w:val="000000" w:themeColor="text1"/>
          <w:sz w:val="24"/>
          <w:szCs w:val="24"/>
          <w14:textFill>
            <w14:solidFill>
              <w14:schemeClr w14:val="tx1"/>
            </w14:solidFill>
          </w14:textFill>
        </w:rPr>
        <w:t>合同履行</w:t>
      </w:r>
      <w:r>
        <w:rPr>
          <w:rFonts w:hint="eastAsia" w:ascii="宋体" w:hAnsi="宋体" w:cs="宋体"/>
          <w:color w:val="000000" w:themeColor="text1"/>
          <w:sz w:val="24"/>
          <w:szCs w:val="24"/>
          <w14:textFill>
            <w14:solidFill>
              <w14:schemeClr w14:val="tx1"/>
            </w14:solidFill>
          </w14:textFill>
        </w:rPr>
        <w:t>地</w:t>
      </w:r>
      <w:r>
        <w:rPr>
          <w:rFonts w:ascii="宋体" w:hAnsi="宋体" w:cs="宋体"/>
          <w:color w:val="000000" w:themeColor="text1"/>
          <w:sz w:val="24"/>
          <w:szCs w:val="24"/>
          <w14:textFill>
            <w14:solidFill>
              <w14:schemeClr w14:val="tx1"/>
            </w14:solidFill>
          </w14:textFill>
        </w:rPr>
        <w:t>（交货地）</w:t>
      </w:r>
      <w:r>
        <w:rPr>
          <w:rFonts w:hint="eastAsia" w:ascii="宋体" w:hAnsi="宋体" w:cs="宋体"/>
          <w:color w:val="000000" w:themeColor="text1"/>
          <w:sz w:val="24"/>
          <w:szCs w:val="24"/>
          <w14:textFill>
            <w14:solidFill>
              <w14:schemeClr w14:val="tx1"/>
            </w14:solidFill>
          </w14:textFill>
        </w:rPr>
        <w:t>人民法院提起诉讼。</w:t>
      </w:r>
    </w:p>
    <w:p w14:paraId="391E3528">
      <w:pPr>
        <w:spacing w:line="360" w:lineRule="auto"/>
        <w:rPr>
          <w:rFonts w:hint="eastAsia" w:ascii="宋体" w:hAnsi="宋体" w:cs="宋体"/>
          <w:b/>
          <w:bCs/>
          <w:color w:val="000000" w:themeColor="text1"/>
          <w:kern w:val="0"/>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12、</w:t>
      </w:r>
      <w:r>
        <w:rPr>
          <w:rFonts w:hint="eastAsia" w:ascii="宋体" w:hAnsi="宋体" w:cs="宋体"/>
          <w:b/>
          <w:bCs/>
          <w:color w:val="000000" w:themeColor="text1"/>
          <w:kern w:val="0"/>
          <w:sz w:val="24"/>
          <w:szCs w:val="24"/>
          <w14:textFill>
            <w14:solidFill>
              <w14:schemeClr w14:val="tx1"/>
            </w14:solidFill>
          </w14:textFill>
        </w:rPr>
        <w:t>其他约定</w:t>
      </w:r>
    </w:p>
    <w:p w14:paraId="285E9E4C">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12.1本合同未尽事宜，买卖双方另行补充。</w:t>
      </w:r>
    </w:p>
    <w:p w14:paraId="5735622B">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12.2卖方同意，由卖方</w:t>
      </w:r>
      <w:r>
        <w:rPr>
          <w:rFonts w:hint="eastAsia" w:ascii="宋体" w:hAnsi="宋体" w:cs="宋体"/>
          <w:bCs/>
          <w:color w:val="000000" w:themeColor="text1"/>
          <w:kern w:val="0"/>
          <w:sz w:val="24"/>
          <w:szCs w:val="24"/>
          <w14:textFill>
            <w14:solidFill>
              <w14:schemeClr w14:val="tx1"/>
            </w14:solidFill>
          </w14:textFill>
        </w:rPr>
        <w:t>依据与使用单位的服务协议直接向使用单位履行保修等售后服务义务。</w:t>
      </w:r>
    </w:p>
    <w:p w14:paraId="60491176">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12.3本项目的下述文件均为本合同不可分割的一部分，且应当互为解释；存在不一致时，应按下列顺序优先解释：</w:t>
      </w:r>
    </w:p>
    <w:p w14:paraId="0FC352B1">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（1）采购合同;</w:t>
      </w:r>
    </w:p>
    <w:p w14:paraId="61935432">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（2）买卖合同;</w:t>
      </w:r>
    </w:p>
    <w:p w14:paraId="2CA4385D">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（3）招标文件及补充规定;</w:t>
      </w:r>
    </w:p>
    <w:p w14:paraId="524E5F06">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（4）投标文件及澄清说明。</w:t>
      </w:r>
    </w:p>
    <w:p w14:paraId="232283B8">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12.4本合同经双方签订之日起生效。一式伍份，买方贰份，卖方贰份，送厦门市财政局政府采购监管处备案壹份，具有同等法律效力。</w:t>
      </w:r>
    </w:p>
    <w:p w14:paraId="21B7E504">
      <w:pPr>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（以下无正文）</w:t>
      </w:r>
    </w:p>
    <w:tbl>
      <w:tblPr>
        <w:tblStyle w:val="11"/>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14"/>
        <w:gridCol w:w="2845"/>
        <w:gridCol w:w="1353"/>
        <w:gridCol w:w="3007"/>
      </w:tblGrid>
      <w:tr w14:paraId="227CB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771" w:type="pct"/>
            <w:vAlign w:val="center"/>
          </w:tcPr>
          <w:p w14:paraId="5205F43B">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买</w:t>
            </w:r>
            <w:r>
              <w:rPr>
                <w:rFonts w:hint="eastAsia" w:cs="Times New Roman"/>
                <w:b/>
                <w:bCs/>
                <w:color w:val="000000" w:themeColor="text1"/>
                <w:kern w:val="2"/>
                <w14:textFill>
                  <w14:solidFill>
                    <w14:schemeClr w14:val="tx1"/>
                  </w14:solidFill>
                </w14:textFill>
              </w:rPr>
              <w:t xml:space="preserve"> </w:t>
            </w:r>
            <w:r>
              <w:rPr>
                <w:rFonts w:hint="eastAsia"/>
                <w:b/>
                <w:bCs/>
                <w:color w:val="000000" w:themeColor="text1"/>
                <w:kern w:val="2"/>
                <w14:textFill>
                  <w14:solidFill>
                    <w14:schemeClr w14:val="tx1"/>
                  </w14:solidFill>
                </w14:textFill>
              </w:rPr>
              <w:t xml:space="preserve">  方</w:t>
            </w:r>
          </w:p>
        </w:tc>
        <w:tc>
          <w:tcPr>
            <w:tcW w:w="1669" w:type="pct"/>
            <w:vAlign w:val="center"/>
          </w:tcPr>
          <w:p w14:paraId="1DDD8A68">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厦门万翔网络商务有限公司</w:t>
            </w:r>
          </w:p>
        </w:tc>
        <w:tc>
          <w:tcPr>
            <w:tcW w:w="794" w:type="pct"/>
            <w:vAlign w:val="center"/>
          </w:tcPr>
          <w:p w14:paraId="089FAB12">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卖</w:t>
            </w:r>
            <w:r>
              <w:rPr>
                <w:rFonts w:hint="eastAsia" w:cs="Times New Roman"/>
                <w:b/>
                <w:bCs/>
                <w:color w:val="000000" w:themeColor="text1"/>
                <w:kern w:val="2"/>
                <w14:textFill>
                  <w14:solidFill>
                    <w14:schemeClr w14:val="tx1"/>
                  </w14:solidFill>
                </w14:textFill>
              </w:rPr>
              <w:t xml:space="preserve"> </w:t>
            </w:r>
            <w:r>
              <w:rPr>
                <w:rFonts w:hint="eastAsia"/>
                <w:b/>
                <w:bCs/>
                <w:color w:val="000000" w:themeColor="text1"/>
                <w:kern w:val="2"/>
                <w14:textFill>
                  <w14:solidFill>
                    <w14:schemeClr w14:val="tx1"/>
                  </w14:solidFill>
                </w14:textFill>
              </w:rPr>
              <w:t xml:space="preserve">  方</w:t>
            </w:r>
          </w:p>
        </w:tc>
        <w:tc>
          <w:tcPr>
            <w:tcW w:w="1764" w:type="pct"/>
            <w:vAlign w:val="center"/>
          </w:tcPr>
          <w:p w14:paraId="417C68C3">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0528B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vAlign w:val="center"/>
          </w:tcPr>
          <w:p w14:paraId="493A28EA">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单位地址</w:t>
            </w:r>
          </w:p>
        </w:tc>
        <w:tc>
          <w:tcPr>
            <w:tcW w:w="1669" w:type="pct"/>
            <w:vAlign w:val="center"/>
          </w:tcPr>
          <w:p w14:paraId="7FDAB041">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厦门市湖里区机场北路476号 </w:t>
            </w:r>
          </w:p>
        </w:tc>
        <w:tc>
          <w:tcPr>
            <w:tcW w:w="794" w:type="pct"/>
            <w:vAlign w:val="center"/>
          </w:tcPr>
          <w:p w14:paraId="07A32573">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单位地址</w:t>
            </w:r>
          </w:p>
        </w:tc>
        <w:tc>
          <w:tcPr>
            <w:tcW w:w="1764" w:type="pct"/>
            <w:vAlign w:val="center"/>
          </w:tcPr>
          <w:p w14:paraId="36E1B0C4">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16357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vAlign w:val="center"/>
          </w:tcPr>
          <w:p w14:paraId="30B885D6">
            <w:pPr>
              <w:pStyle w:val="9"/>
              <w:widowControl w:val="0"/>
              <w:snapToGrid w:val="0"/>
              <w:spacing w:before="0" w:beforeAutospacing="0" w:after="0" w:afterAutospacing="0" w:line="360" w:lineRule="auto"/>
              <w:jc w:val="center"/>
              <w:rPr>
                <w:rFonts w:hint="eastAsia" w:cs="Times New Roman"/>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法定代表人</w:t>
            </w:r>
          </w:p>
        </w:tc>
        <w:tc>
          <w:tcPr>
            <w:tcW w:w="1669" w:type="pct"/>
            <w:vAlign w:val="center"/>
          </w:tcPr>
          <w:p w14:paraId="5887623D">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c>
          <w:tcPr>
            <w:tcW w:w="794" w:type="pct"/>
            <w:vAlign w:val="center"/>
          </w:tcPr>
          <w:p w14:paraId="0A07C4CD">
            <w:pPr>
              <w:pStyle w:val="9"/>
              <w:widowControl w:val="0"/>
              <w:snapToGrid w:val="0"/>
              <w:spacing w:before="0" w:beforeAutospacing="0" w:after="0" w:afterAutospacing="0" w:line="360" w:lineRule="auto"/>
              <w:jc w:val="center"/>
              <w:rPr>
                <w:rFonts w:hint="eastAsia" w:cs="Times New Roman"/>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法定代表人</w:t>
            </w:r>
          </w:p>
        </w:tc>
        <w:tc>
          <w:tcPr>
            <w:tcW w:w="1764" w:type="pct"/>
            <w:vAlign w:val="center"/>
          </w:tcPr>
          <w:p w14:paraId="4513D34A">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74606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vAlign w:val="center"/>
          </w:tcPr>
          <w:p w14:paraId="030D6DC5">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签字代表</w:t>
            </w:r>
          </w:p>
        </w:tc>
        <w:tc>
          <w:tcPr>
            <w:tcW w:w="1669" w:type="pct"/>
            <w:vAlign w:val="center"/>
          </w:tcPr>
          <w:p w14:paraId="3D2891E6">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c>
          <w:tcPr>
            <w:tcW w:w="794" w:type="pct"/>
            <w:vAlign w:val="center"/>
          </w:tcPr>
          <w:p w14:paraId="44EE3C97">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签字代表</w:t>
            </w:r>
          </w:p>
        </w:tc>
        <w:tc>
          <w:tcPr>
            <w:tcW w:w="1764" w:type="pct"/>
            <w:vAlign w:val="center"/>
          </w:tcPr>
          <w:p w14:paraId="2CA477E7">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4E6A7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vAlign w:val="center"/>
          </w:tcPr>
          <w:p w14:paraId="60D7518A">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电</w:t>
            </w:r>
            <w:r>
              <w:rPr>
                <w:rFonts w:hint="eastAsia" w:cs="Times New Roman"/>
                <w:b/>
                <w:bCs/>
                <w:color w:val="000000" w:themeColor="text1"/>
                <w:kern w:val="2"/>
                <w14:textFill>
                  <w14:solidFill>
                    <w14:schemeClr w14:val="tx1"/>
                  </w14:solidFill>
                </w14:textFill>
              </w:rPr>
              <w:t xml:space="preserve"> </w:t>
            </w:r>
            <w:r>
              <w:rPr>
                <w:rFonts w:hint="eastAsia"/>
                <w:b/>
                <w:bCs/>
                <w:color w:val="000000" w:themeColor="text1"/>
                <w:kern w:val="2"/>
                <w14:textFill>
                  <w14:solidFill>
                    <w14:schemeClr w14:val="tx1"/>
                  </w14:solidFill>
                </w14:textFill>
              </w:rPr>
              <w:t xml:space="preserve">   话</w:t>
            </w:r>
          </w:p>
        </w:tc>
        <w:tc>
          <w:tcPr>
            <w:tcW w:w="1669" w:type="pct"/>
            <w:vAlign w:val="center"/>
          </w:tcPr>
          <w:p w14:paraId="7DF374BF">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c>
          <w:tcPr>
            <w:tcW w:w="794" w:type="pct"/>
            <w:vAlign w:val="center"/>
          </w:tcPr>
          <w:p w14:paraId="7FBE9463">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电</w:t>
            </w:r>
            <w:r>
              <w:rPr>
                <w:rFonts w:hint="eastAsia" w:cs="Times New Roman"/>
                <w:b/>
                <w:bCs/>
                <w:color w:val="000000" w:themeColor="text1"/>
                <w:kern w:val="2"/>
                <w14:textFill>
                  <w14:solidFill>
                    <w14:schemeClr w14:val="tx1"/>
                  </w14:solidFill>
                </w14:textFill>
              </w:rPr>
              <w:t xml:space="preserve"> </w:t>
            </w:r>
            <w:r>
              <w:rPr>
                <w:rFonts w:hint="eastAsia"/>
                <w:b/>
                <w:bCs/>
                <w:color w:val="000000" w:themeColor="text1"/>
                <w:kern w:val="2"/>
                <w14:textFill>
                  <w14:solidFill>
                    <w14:schemeClr w14:val="tx1"/>
                  </w14:solidFill>
                </w14:textFill>
              </w:rPr>
              <w:t xml:space="preserve">  话</w:t>
            </w:r>
          </w:p>
        </w:tc>
        <w:tc>
          <w:tcPr>
            <w:tcW w:w="1764" w:type="pct"/>
            <w:vAlign w:val="center"/>
          </w:tcPr>
          <w:p w14:paraId="2EF217FB">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5BCE4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vAlign w:val="center"/>
          </w:tcPr>
          <w:p w14:paraId="059C12EF">
            <w:pPr>
              <w:pStyle w:val="9"/>
              <w:widowControl w:val="0"/>
              <w:snapToGrid w:val="0"/>
              <w:spacing w:before="0" w:beforeAutospacing="0" w:after="0" w:afterAutospacing="0" w:line="360" w:lineRule="auto"/>
              <w:jc w:val="center"/>
              <w:rPr>
                <w:rFonts w:hint="eastAsia" w:cs="Times New Roman"/>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开户行</w:t>
            </w:r>
          </w:p>
        </w:tc>
        <w:tc>
          <w:tcPr>
            <w:tcW w:w="1669" w:type="pct"/>
            <w:vAlign w:val="center"/>
          </w:tcPr>
          <w:p w14:paraId="35B31290">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中国建设银行股份有限公司厦门自贸试验区航空港支行</w:t>
            </w:r>
          </w:p>
        </w:tc>
        <w:tc>
          <w:tcPr>
            <w:tcW w:w="794" w:type="pct"/>
            <w:vAlign w:val="center"/>
          </w:tcPr>
          <w:p w14:paraId="4899C786">
            <w:pPr>
              <w:pStyle w:val="9"/>
              <w:widowControl w:val="0"/>
              <w:snapToGrid w:val="0"/>
              <w:spacing w:before="0" w:beforeAutospacing="0" w:after="0" w:afterAutospacing="0" w:line="360" w:lineRule="auto"/>
              <w:jc w:val="center"/>
              <w:rPr>
                <w:rFonts w:hint="eastAsia" w:cs="Times New Roman"/>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开户行</w:t>
            </w:r>
          </w:p>
        </w:tc>
        <w:tc>
          <w:tcPr>
            <w:tcW w:w="1764" w:type="pct"/>
            <w:vAlign w:val="center"/>
          </w:tcPr>
          <w:p w14:paraId="6D165136">
            <w:pPr>
              <w:spacing w:line="240" w:lineRule="atLeast"/>
              <w:jc w:val="left"/>
              <w:rPr>
                <w:rFonts w:hint="eastAsia" w:ascii="宋体" w:hAnsi="宋体"/>
                <w:color w:val="000000" w:themeColor="text1"/>
                <w:kern w:val="0"/>
                <w:sz w:val="24"/>
                <w:szCs w:val="24"/>
                <w14:textFill>
                  <w14:solidFill>
                    <w14:schemeClr w14:val="tx1"/>
                  </w14:solidFill>
                </w14:textFill>
              </w:rPr>
            </w:pPr>
          </w:p>
        </w:tc>
      </w:tr>
      <w:tr w14:paraId="47A0D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vAlign w:val="center"/>
          </w:tcPr>
          <w:p w14:paraId="6567EF1C">
            <w:pPr>
              <w:pStyle w:val="9"/>
              <w:widowControl w:val="0"/>
              <w:snapToGrid w:val="0"/>
              <w:spacing w:before="0" w:beforeAutospacing="0" w:after="0" w:afterAutospacing="0" w:line="360" w:lineRule="auto"/>
              <w:jc w:val="center"/>
              <w:rPr>
                <w:rFonts w:hint="eastAsia" w:cs="Times New Roman"/>
                <w:b/>
                <w:bCs/>
                <w:color w:val="000000" w:themeColor="text1"/>
                <w:kern w:val="2"/>
                <w14:textFill>
                  <w14:solidFill>
                    <w14:schemeClr w14:val="tx1"/>
                  </w14:solidFill>
                </w14:textFill>
              </w:rPr>
            </w:pPr>
            <w:r>
              <w:rPr>
                <w:rFonts w:hint="eastAsia"/>
                <w:b/>
                <w:bCs/>
                <w:color w:val="000000" w:themeColor="text1"/>
                <w:spacing w:val="20"/>
                <w14:textFill>
                  <w14:solidFill>
                    <w14:schemeClr w14:val="tx1"/>
                  </w14:solidFill>
                </w14:textFill>
              </w:rPr>
              <w:t>账</w:t>
            </w:r>
            <w:r>
              <w:rPr>
                <w:rFonts w:hint="eastAsia" w:cs="Times New Roman"/>
                <w:b/>
                <w:bCs/>
                <w:color w:val="000000" w:themeColor="text1"/>
                <w:spacing w:val="20"/>
                <w14:textFill>
                  <w14:solidFill>
                    <w14:schemeClr w14:val="tx1"/>
                  </w14:solidFill>
                </w14:textFill>
              </w:rPr>
              <w:t xml:space="preserve"> </w:t>
            </w:r>
            <w:r>
              <w:rPr>
                <w:rFonts w:hint="eastAsia"/>
                <w:b/>
                <w:bCs/>
                <w:color w:val="000000" w:themeColor="text1"/>
                <w:spacing w:val="20"/>
                <w14:textFill>
                  <w14:solidFill>
                    <w14:schemeClr w14:val="tx1"/>
                  </w14:solidFill>
                </w14:textFill>
              </w:rPr>
              <w:t xml:space="preserve"> 号</w:t>
            </w:r>
          </w:p>
        </w:tc>
        <w:tc>
          <w:tcPr>
            <w:tcW w:w="1669" w:type="pct"/>
            <w:vAlign w:val="center"/>
          </w:tcPr>
          <w:p w14:paraId="16770179">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35101570201052503924  </w:t>
            </w:r>
          </w:p>
        </w:tc>
        <w:tc>
          <w:tcPr>
            <w:tcW w:w="794" w:type="pct"/>
            <w:vAlign w:val="center"/>
          </w:tcPr>
          <w:p w14:paraId="62ACC6CB">
            <w:pPr>
              <w:pStyle w:val="9"/>
              <w:widowControl w:val="0"/>
              <w:snapToGrid w:val="0"/>
              <w:spacing w:before="0" w:beforeAutospacing="0" w:after="0" w:afterAutospacing="0" w:line="360" w:lineRule="auto"/>
              <w:jc w:val="center"/>
              <w:rPr>
                <w:rFonts w:hint="eastAsia" w:cs="Times New Roman"/>
                <w:b/>
                <w:bCs/>
                <w:color w:val="000000" w:themeColor="text1"/>
                <w:kern w:val="2"/>
                <w14:textFill>
                  <w14:solidFill>
                    <w14:schemeClr w14:val="tx1"/>
                  </w14:solidFill>
                </w14:textFill>
              </w:rPr>
            </w:pPr>
            <w:r>
              <w:rPr>
                <w:rFonts w:hint="eastAsia"/>
                <w:b/>
                <w:bCs/>
                <w:color w:val="000000" w:themeColor="text1"/>
                <w:spacing w:val="20"/>
                <w14:textFill>
                  <w14:solidFill>
                    <w14:schemeClr w14:val="tx1"/>
                  </w14:solidFill>
                </w14:textFill>
              </w:rPr>
              <w:t>账</w:t>
            </w:r>
            <w:r>
              <w:rPr>
                <w:rFonts w:hint="eastAsia" w:cs="Times New Roman"/>
                <w:b/>
                <w:bCs/>
                <w:color w:val="000000" w:themeColor="text1"/>
                <w:spacing w:val="20"/>
                <w14:textFill>
                  <w14:solidFill>
                    <w14:schemeClr w14:val="tx1"/>
                  </w14:solidFill>
                </w14:textFill>
              </w:rPr>
              <w:t xml:space="preserve"> </w:t>
            </w:r>
            <w:r>
              <w:rPr>
                <w:rFonts w:hint="eastAsia"/>
                <w:b/>
                <w:bCs/>
                <w:color w:val="000000" w:themeColor="text1"/>
                <w:spacing w:val="20"/>
                <w14:textFill>
                  <w14:solidFill>
                    <w14:schemeClr w14:val="tx1"/>
                  </w14:solidFill>
                </w14:textFill>
              </w:rPr>
              <w:t xml:space="preserve"> 号</w:t>
            </w:r>
          </w:p>
        </w:tc>
        <w:tc>
          <w:tcPr>
            <w:tcW w:w="1764" w:type="pct"/>
            <w:vAlign w:val="center"/>
          </w:tcPr>
          <w:p w14:paraId="58174D0D">
            <w:pPr>
              <w:spacing w:line="360" w:lineRule="auto"/>
              <w:jc w:val="left"/>
              <w:rPr>
                <w:rFonts w:hint="eastAsia" w:ascii="宋体" w:hAnsi="宋体"/>
                <w:color w:val="000000" w:themeColor="text1"/>
                <w:kern w:val="0"/>
                <w:sz w:val="24"/>
                <w:szCs w:val="24"/>
                <w14:textFill>
                  <w14:solidFill>
                    <w14:schemeClr w14:val="tx1"/>
                  </w14:solidFill>
                </w14:textFill>
              </w:rPr>
            </w:pPr>
          </w:p>
        </w:tc>
      </w:tr>
      <w:tr w14:paraId="3D870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vAlign w:val="center"/>
          </w:tcPr>
          <w:p w14:paraId="7D3BC419">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签订日期</w:t>
            </w:r>
          </w:p>
        </w:tc>
        <w:tc>
          <w:tcPr>
            <w:tcW w:w="1669" w:type="pct"/>
            <w:vAlign w:val="center"/>
          </w:tcPr>
          <w:p w14:paraId="348F30BB">
            <w:pPr>
              <w:pStyle w:val="9"/>
              <w:widowControl w:val="0"/>
              <w:snapToGrid w:val="0"/>
              <w:spacing w:before="0" w:beforeAutospacing="0" w:after="0" w:afterAutospacing="0" w:line="360" w:lineRule="auto"/>
              <w:rPr>
                <w:rFonts w:hint="eastAsia" w:cs="Times New Roman"/>
                <w:color w:val="000000" w:themeColor="text1"/>
                <w:kern w:val="2"/>
                <w14:textFill>
                  <w14:solidFill>
                    <w14:schemeClr w14:val="tx1"/>
                  </w14:solidFill>
                </w14:textFill>
              </w:rPr>
            </w:pPr>
          </w:p>
        </w:tc>
        <w:tc>
          <w:tcPr>
            <w:tcW w:w="794" w:type="pct"/>
            <w:vAlign w:val="center"/>
          </w:tcPr>
          <w:p w14:paraId="7925F470">
            <w:pPr>
              <w:pStyle w:val="9"/>
              <w:widowControl w:val="0"/>
              <w:snapToGrid w:val="0"/>
              <w:spacing w:before="0" w:beforeAutospacing="0" w:after="0" w:afterAutospacing="0" w:line="360" w:lineRule="auto"/>
              <w:jc w:val="center"/>
              <w:rPr>
                <w:rFonts w:hint="eastAsia" w:cs="Times New Roman"/>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签订日期</w:t>
            </w:r>
          </w:p>
        </w:tc>
        <w:tc>
          <w:tcPr>
            <w:tcW w:w="1764" w:type="pct"/>
            <w:vAlign w:val="center"/>
          </w:tcPr>
          <w:p w14:paraId="6FFDE29C">
            <w:pPr>
              <w:pStyle w:val="9"/>
              <w:widowControl w:val="0"/>
              <w:snapToGrid w:val="0"/>
              <w:spacing w:before="0" w:beforeAutospacing="0" w:after="0" w:afterAutospacing="0" w:line="360" w:lineRule="auto"/>
              <w:rPr>
                <w:rFonts w:hint="eastAsia" w:cs="Times New Roman"/>
                <w:color w:val="000000" w:themeColor="text1"/>
                <w:kern w:val="2"/>
                <w14:textFill>
                  <w14:solidFill>
                    <w14:schemeClr w14:val="tx1"/>
                  </w14:solidFill>
                </w14:textFill>
              </w:rPr>
            </w:pPr>
          </w:p>
        </w:tc>
      </w:tr>
    </w:tbl>
    <w:p w14:paraId="7D46831E">
      <w:pPr>
        <w:spacing w:line="360" w:lineRule="auto"/>
        <w:ind w:firstLine="600" w:firstLineChars="250"/>
        <w:rPr>
          <w:rFonts w:hint="eastAsia" w:ascii="宋体" w:hAnsi="宋体" w:cs="宋体"/>
          <w:color w:val="000000" w:themeColor="text1"/>
          <w:sz w:val="24"/>
          <w:szCs w:val="24"/>
          <w14:textFill>
            <w14:solidFill>
              <w14:schemeClr w14:val="tx1"/>
            </w14:solidFill>
          </w14:textFill>
        </w:rPr>
      </w:pPr>
    </w:p>
    <w:p w14:paraId="758D752D">
      <w:pPr>
        <w:widowControl/>
        <w:ind w:left="-850" w:leftChars="-405"/>
        <w:rPr>
          <w:rFonts w:hint="eastAsia" w:ascii="宋体" w:hAnsi="宋体" w:cs="宋体"/>
          <w:color w:val="000000" w:themeColor="text1"/>
          <w:sz w:val="24"/>
          <w:szCs w:val="24"/>
          <w14:textFill>
            <w14:solidFill>
              <w14:schemeClr w14:val="tx1"/>
            </w14:solidFill>
          </w14:textFill>
        </w:rPr>
      </w:pPr>
    </w:p>
    <w:p w14:paraId="1AB014FA">
      <w:pPr>
        <w:widowControl/>
        <w:rPr>
          <w:rFonts w:hint="eastAsia"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br w:type="page"/>
      </w:r>
    </w:p>
    <w:p w14:paraId="2C49520E">
      <w:pPr>
        <w:widowControl/>
        <w:ind w:left="-850" w:leftChars="-405"/>
        <w:rPr>
          <w:rFonts w:hint="eastAsia"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附件1：供货清单</w:t>
      </w:r>
    </w:p>
    <w:p w14:paraId="6C80DA49">
      <w:pPr>
        <w:pStyle w:val="9"/>
        <w:widowControl w:val="0"/>
        <w:spacing w:before="0" w:beforeAutospacing="0" w:after="0" w:afterAutospacing="0"/>
        <w:jc w:val="both"/>
        <w:textAlignment w:val="baseline"/>
        <w:rPr>
          <w:rFonts w:hint="eastAsia" w:eastAsia="等线"/>
          <w:color w:val="000000" w:themeColor="text1"/>
          <w:kern w:val="2"/>
          <w14:textFill>
            <w14:solidFill>
              <w14:schemeClr w14:val="tx1"/>
            </w14:solidFill>
          </w14:textFill>
        </w:rPr>
      </w:pPr>
      <w:r>
        <w:rPr>
          <w:rFonts w:eastAsia="等线"/>
          <w:color w:val="000000" w:themeColor="text1"/>
          <w:kern w:val="2"/>
          <w14:textFill>
            <w14:solidFill>
              <w14:schemeClr w14:val="tx1"/>
            </w14:solidFill>
          </w14:textFill>
        </w:rPr>
        <w:t xml:space="preserve"> </w:t>
      </w: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6F22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E3F049E">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序号</w:t>
            </w:r>
          </w:p>
        </w:tc>
        <w:tc>
          <w:tcPr>
            <w:tcW w:w="503" w:type="pct"/>
            <w:tcBorders>
              <w:top w:val="single" w:color="auto" w:sz="4" w:space="0"/>
              <w:left w:val="single" w:color="auto" w:sz="4" w:space="0"/>
              <w:bottom w:val="single" w:color="auto" w:sz="4" w:space="0"/>
              <w:right w:val="single" w:color="auto" w:sz="4" w:space="0"/>
            </w:tcBorders>
            <w:vAlign w:val="center"/>
          </w:tcPr>
          <w:p w14:paraId="1071B436">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名</w:t>
            </w:r>
            <w:r>
              <w:rPr>
                <w:rFonts w:ascii="华文楷体" w:hAnsi="华文楷体" w:eastAsia="华文楷体" w:cs="黑体"/>
                <w:b/>
                <w:color w:val="000000" w:themeColor="text1"/>
                <w:sz w:val="24"/>
                <w:szCs w:val="24"/>
                <w14:textFill>
                  <w14:solidFill>
                    <w14:schemeClr w14:val="tx1"/>
                  </w14:solidFill>
                </w14:textFill>
              </w:rPr>
              <w:t xml:space="preserve"> </w:t>
            </w:r>
            <w:r>
              <w:rPr>
                <w:rFonts w:ascii="华文楷体" w:hAnsi="华文楷体" w:eastAsia="华文楷体" w:cs="华文楷体"/>
                <w:b/>
                <w:color w:val="000000" w:themeColor="text1"/>
                <w:sz w:val="24"/>
                <w:szCs w:val="24"/>
                <w14:textFill>
                  <w14:solidFill>
                    <w14:schemeClr w14:val="tx1"/>
                  </w14:solidFill>
                </w14:textFill>
              </w:rPr>
              <w:t xml:space="preserve"> 称</w:t>
            </w:r>
          </w:p>
        </w:tc>
        <w:tc>
          <w:tcPr>
            <w:tcW w:w="455" w:type="pct"/>
            <w:tcBorders>
              <w:top w:val="single" w:color="auto" w:sz="4" w:space="0"/>
              <w:left w:val="single" w:color="auto" w:sz="4" w:space="0"/>
              <w:bottom w:val="single" w:color="auto" w:sz="4" w:space="0"/>
              <w:right w:val="single" w:color="auto" w:sz="4" w:space="0"/>
            </w:tcBorders>
            <w:vAlign w:val="center"/>
          </w:tcPr>
          <w:p w14:paraId="39274FEB">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数量</w:t>
            </w:r>
          </w:p>
        </w:tc>
        <w:tc>
          <w:tcPr>
            <w:tcW w:w="456" w:type="pct"/>
            <w:tcBorders>
              <w:top w:val="single" w:color="auto" w:sz="4" w:space="0"/>
              <w:left w:val="single" w:color="auto" w:sz="4" w:space="0"/>
              <w:bottom w:val="single" w:color="auto" w:sz="4" w:space="0"/>
              <w:right w:val="single" w:color="auto" w:sz="4" w:space="0"/>
            </w:tcBorders>
            <w:vAlign w:val="center"/>
          </w:tcPr>
          <w:p w14:paraId="00F75A85">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原产地</w:t>
            </w:r>
          </w:p>
        </w:tc>
        <w:tc>
          <w:tcPr>
            <w:tcW w:w="882" w:type="pct"/>
            <w:tcBorders>
              <w:top w:val="single" w:color="auto" w:sz="4" w:space="0"/>
              <w:left w:val="single" w:color="auto" w:sz="4" w:space="0"/>
              <w:bottom w:val="single" w:color="auto" w:sz="4" w:space="0"/>
              <w:right w:val="single" w:color="auto" w:sz="4" w:space="0"/>
            </w:tcBorders>
            <w:vAlign w:val="center"/>
          </w:tcPr>
          <w:p w14:paraId="5C4A9A6E">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制造商</w:t>
            </w:r>
          </w:p>
        </w:tc>
        <w:tc>
          <w:tcPr>
            <w:tcW w:w="1151" w:type="pct"/>
            <w:tcBorders>
              <w:top w:val="single" w:color="auto" w:sz="4" w:space="0"/>
              <w:left w:val="single" w:color="auto" w:sz="4" w:space="0"/>
              <w:bottom w:val="single" w:color="auto" w:sz="4" w:space="0"/>
              <w:right w:val="single" w:color="auto" w:sz="4" w:space="0"/>
            </w:tcBorders>
            <w:vAlign w:val="center"/>
          </w:tcPr>
          <w:p w14:paraId="0B01D279">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规 格</w:t>
            </w:r>
            <w:r>
              <w:rPr>
                <w:rFonts w:ascii="华文楷体" w:hAnsi="华文楷体" w:eastAsia="华文楷体" w:cs="黑体"/>
                <w:b/>
                <w:color w:val="000000" w:themeColor="text1"/>
                <w:sz w:val="24"/>
                <w:szCs w:val="24"/>
                <w14:textFill>
                  <w14:solidFill>
                    <w14:schemeClr w14:val="tx1"/>
                  </w14:solidFill>
                </w14:textFill>
              </w:rPr>
              <w:t xml:space="preserve"> </w:t>
            </w:r>
            <w:r>
              <w:rPr>
                <w:rFonts w:ascii="华文楷体" w:hAnsi="华文楷体" w:eastAsia="华文楷体" w:cs="华文楷体"/>
                <w:b/>
                <w:color w:val="000000" w:themeColor="text1"/>
                <w:sz w:val="24"/>
                <w:szCs w:val="24"/>
                <w14:textFill>
                  <w14:solidFill>
                    <w14:schemeClr w14:val="tx1"/>
                  </w14:solidFill>
                </w14:textFill>
              </w:rPr>
              <w:t>型</w:t>
            </w:r>
            <w:r>
              <w:rPr>
                <w:rFonts w:ascii="华文楷体" w:hAnsi="华文楷体" w:eastAsia="华文楷体" w:cs="黑体"/>
                <w:b/>
                <w:color w:val="000000" w:themeColor="text1"/>
                <w:sz w:val="24"/>
                <w:szCs w:val="24"/>
                <w14:textFill>
                  <w14:solidFill>
                    <w14:schemeClr w14:val="tx1"/>
                  </w14:solidFill>
                </w14:textFill>
              </w:rPr>
              <w:t xml:space="preserve"> </w:t>
            </w:r>
            <w:r>
              <w:rPr>
                <w:rFonts w:ascii="华文楷体" w:hAnsi="华文楷体" w:eastAsia="华文楷体" w:cs="华文楷体"/>
                <w:b/>
                <w:color w:val="000000" w:themeColor="text1"/>
                <w:sz w:val="24"/>
                <w:szCs w:val="24"/>
                <w14:textFill>
                  <w14:solidFill>
                    <w14:schemeClr w14:val="tx1"/>
                  </w14:solidFill>
                </w14:textFill>
              </w:rPr>
              <w:t>号</w:t>
            </w:r>
          </w:p>
        </w:tc>
        <w:tc>
          <w:tcPr>
            <w:tcW w:w="584" w:type="pct"/>
            <w:tcBorders>
              <w:top w:val="single" w:color="auto" w:sz="4" w:space="0"/>
              <w:left w:val="single" w:color="auto" w:sz="4" w:space="0"/>
              <w:bottom w:val="single" w:color="auto" w:sz="4" w:space="0"/>
              <w:right w:val="single" w:color="auto" w:sz="4" w:space="0"/>
            </w:tcBorders>
            <w:vAlign w:val="center"/>
          </w:tcPr>
          <w:p w14:paraId="5F7BCCD0">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单价（元）</w:t>
            </w:r>
          </w:p>
        </w:tc>
        <w:tc>
          <w:tcPr>
            <w:tcW w:w="649" w:type="pct"/>
            <w:tcBorders>
              <w:top w:val="single" w:color="auto" w:sz="4" w:space="0"/>
              <w:left w:val="single" w:color="auto" w:sz="4" w:space="0"/>
              <w:bottom w:val="single" w:color="auto" w:sz="4" w:space="0"/>
              <w:right w:val="single" w:color="auto" w:sz="4" w:space="0"/>
            </w:tcBorders>
          </w:tcPr>
          <w:p w14:paraId="7065E07C">
            <w:pPr>
              <w:pStyle w:val="19"/>
              <w:widowControl w:val="0"/>
              <w:spacing w:line="460" w:lineRule="exact"/>
              <w:jc w:val="center"/>
              <w:rPr>
                <w:rFonts w:hint="eastAsia" w:ascii="华文楷体" w:hAnsi="华文楷体" w:eastAsia="华文楷体" w:cs="黑体"/>
                <w:b/>
                <w:color w:val="000000" w:themeColor="text1"/>
                <w:sz w:val="24"/>
                <w:szCs w:val="24"/>
                <w14:textFill>
                  <w14:solidFill>
                    <w14:schemeClr w14:val="tx1"/>
                  </w14:solidFill>
                </w14:textFill>
              </w:rPr>
            </w:pPr>
            <w:r>
              <w:rPr>
                <w:rFonts w:ascii="华文楷体" w:hAnsi="华文楷体" w:eastAsia="华文楷体" w:cs="华文楷体"/>
                <w:b/>
                <w:color w:val="000000" w:themeColor="text1"/>
                <w:sz w:val="24"/>
                <w:szCs w:val="24"/>
                <w14:textFill>
                  <w14:solidFill>
                    <w14:schemeClr w14:val="tx1"/>
                  </w14:solidFill>
                </w14:textFill>
              </w:rPr>
              <w:t>金额（元）</w:t>
            </w:r>
          </w:p>
        </w:tc>
      </w:tr>
      <w:tr w14:paraId="3D2E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1F37A48B">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1DE241FC">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61A97571">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0C6EE442">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5B5A145C">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62E636E7">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5F6E6B05">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77EF6F76">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14DE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1632B403">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7601975E">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6572B7BC">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36689C9D">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040C5AA9">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12F8A575">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249A6A36">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63FE7258">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1056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E1E37F3">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48C3DAD0">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30E67186">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0E5585D9">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12F496A7">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2A155EAA">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166BB459">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4C58C36C">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2AAA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46B7757">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0FF3612C">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287B472A">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06BFE036">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7C3E5EE7">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63F148AE">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3893C05A">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3BFEF680">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2689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87D193B">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6BF308BE">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56C3CB8D">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1B884BBC">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6905E92C">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396F3C16">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60CD9D75">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086A046A">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3D49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5A1A56F">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52B77D2C">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40632FC1">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07145BA9">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5AFD4A5F">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12B3F59A">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4BDD8E57">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7D064242">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2754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F008FAE">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3257ADE1">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1C7F9A78">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62973C37">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24C5847D">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4EF37972">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5D3D555A">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5EB2BBAA">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5773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EE62F30">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57BE608F">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6F7D2FE4">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1076883F">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6F8A2F38">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26DB4BCE">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204FBE65">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7D4D7C5B">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37B2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1331CF9">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16A60871">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206B6B2B">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1946A157">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2C31C00E">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10EB84EB">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2B9C6D0B">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5AA33962">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298C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41A8AFB">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4739E65F">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27C18D80">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2085F710">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554477C5">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3A53A776">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201E6EE3">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769A78D9">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5BC0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877CB3B">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1C4F7931">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4331483A">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4005345B">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5E0A7B55">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7D2C7719">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36200194">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21EA817E">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715B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9998229">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3157D6C9">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450199FF">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6EEF0C67">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09B984E4">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3FAABEEE">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7B3AC4D3">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15CC2AA2">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729C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CAFAC71">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109675BE">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55E61867">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5BF58F81">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7B86ECC2">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0E3167BF">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4BF35140">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4E9D33FC">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66AF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48219E83">
            <w:pPr>
              <w:spacing w:line="460" w:lineRule="exact"/>
              <w:jc w:val="center"/>
              <w:rPr>
                <w:rFonts w:hint="eastAsia" w:ascii="华文楷体" w:hAnsi="华文楷体" w:eastAsia="华文楷体" w:cs="华文楷体"/>
                <w:color w:val="000000" w:themeColor="text1"/>
                <w:kern w:val="0"/>
                <w:sz w:val="24"/>
                <w:szCs w:val="24"/>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vAlign w:val="center"/>
          </w:tcPr>
          <w:p w14:paraId="6ABC513E">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5" w:type="pct"/>
            <w:tcBorders>
              <w:top w:val="single" w:color="auto" w:sz="4" w:space="0"/>
              <w:left w:val="single" w:color="auto" w:sz="4" w:space="0"/>
              <w:bottom w:val="single" w:color="auto" w:sz="4" w:space="0"/>
              <w:right w:val="single" w:color="auto" w:sz="4" w:space="0"/>
            </w:tcBorders>
            <w:vAlign w:val="center"/>
          </w:tcPr>
          <w:p w14:paraId="2D600608">
            <w:pPr>
              <w:spacing w:line="460" w:lineRule="exact"/>
              <w:jc w:val="center"/>
              <w:rPr>
                <w:rFonts w:hint="eastAsia" w:ascii="华文楷体" w:hAnsi="华文楷体" w:eastAsia="华文楷体" w:cs="宋体"/>
                <w:color w:val="000000" w:themeColor="text1"/>
                <w:kern w:val="0"/>
                <w:sz w:val="24"/>
                <w:szCs w:val="24"/>
                <w14:textFill>
                  <w14:solidFill>
                    <w14:schemeClr w14:val="tx1"/>
                  </w14:solidFill>
                </w14:textFill>
              </w:rPr>
            </w:pPr>
          </w:p>
        </w:tc>
        <w:tc>
          <w:tcPr>
            <w:tcW w:w="456" w:type="pct"/>
            <w:tcBorders>
              <w:top w:val="single" w:color="auto" w:sz="4" w:space="0"/>
              <w:left w:val="single" w:color="auto" w:sz="4" w:space="0"/>
              <w:bottom w:val="single" w:color="auto" w:sz="4" w:space="0"/>
              <w:right w:val="single" w:color="auto" w:sz="4" w:space="0"/>
            </w:tcBorders>
            <w:vAlign w:val="center"/>
          </w:tcPr>
          <w:p w14:paraId="4086F6DF">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882" w:type="pct"/>
            <w:tcBorders>
              <w:top w:val="single" w:color="auto" w:sz="4" w:space="0"/>
              <w:left w:val="single" w:color="auto" w:sz="4" w:space="0"/>
              <w:bottom w:val="single" w:color="auto" w:sz="4" w:space="0"/>
              <w:right w:val="single" w:color="auto" w:sz="4" w:space="0"/>
            </w:tcBorders>
            <w:vAlign w:val="center"/>
          </w:tcPr>
          <w:p w14:paraId="1A3CB84D">
            <w:pPr>
              <w:pStyle w:val="19"/>
              <w:widowControl w:val="0"/>
              <w:spacing w:line="460" w:lineRule="exact"/>
              <w:jc w:val="center"/>
              <w:rPr>
                <w:rFonts w:hint="eastAsia" w:ascii="华文楷体" w:hAnsi="华文楷体" w:eastAsia="华文楷体" w:cs="黑体"/>
                <w:color w:val="000000" w:themeColor="text1"/>
                <w:sz w:val="24"/>
                <w:szCs w:val="24"/>
                <w14:textFill>
                  <w14:solidFill>
                    <w14:schemeClr w14:val="tx1"/>
                  </w14:solidFill>
                </w14:textFill>
              </w:rPr>
            </w:pPr>
          </w:p>
        </w:tc>
        <w:tc>
          <w:tcPr>
            <w:tcW w:w="1151" w:type="pct"/>
            <w:tcBorders>
              <w:top w:val="single" w:color="auto" w:sz="4" w:space="0"/>
              <w:left w:val="single" w:color="auto" w:sz="4" w:space="0"/>
              <w:bottom w:val="single" w:color="auto" w:sz="4" w:space="0"/>
              <w:right w:val="single" w:color="auto" w:sz="4" w:space="0"/>
            </w:tcBorders>
            <w:vAlign w:val="center"/>
          </w:tcPr>
          <w:p w14:paraId="531D8605">
            <w:pPr>
              <w:spacing w:line="460" w:lineRule="exact"/>
              <w:ind w:firstLine="480" w:firstLineChars="200"/>
              <w:rPr>
                <w:rFonts w:hint="eastAsia" w:ascii="华文楷体" w:hAnsi="华文楷体" w:eastAsia="华文楷体" w:cs="宋体"/>
                <w:color w:val="000000" w:themeColor="text1"/>
                <w:kern w:val="0"/>
                <w:sz w:val="24"/>
                <w:szCs w:val="24"/>
                <w14:textFill>
                  <w14:solidFill>
                    <w14:schemeClr w14:val="tx1"/>
                  </w14:solidFill>
                </w14:textFill>
              </w:rPr>
            </w:pPr>
          </w:p>
        </w:tc>
        <w:tc>
          <w:tcPr>
            <w:tcW w:w="584" w:type="pct"/>
            <w:tcBorders>
              <w:top w:val="single" w:color="auto" w:sz="4" w:space="0"/>
              <w:left w:val="single" w:color="auto" w:sz="4" w:space="0"/>
              <w:bottom w:val="single" w:color="auto" w:sz="4" w:space="0"/>
              <w:right w:val="single" w:color="auto" w:sz="4" w:space="0"/>
            </w:tcBorders>
            <w:vAlign w:val="center"/>
          </w:tcPr>
          <w:p w14:paraId="35D2022C">
            <w:pPr>
              <w:spacing w:line="460" w:lineRule="exact"/>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361855FF">
            <w:pPr>
              <w:jc w:val="center"/>
              <w:rPr>
                <w:rFonts w:hint="eastAsia" w:ascii="华文楷体" w:hAnsi="华文楷体" w:eastAsia="华文楷体" w:cs="宋体"/>
                <w:b/>
                <w:color w:val="000000" w:themeColor="text1"/>
                <w:kern w:val="0"/>
                <w:sz w:val="24"/>
                <w:szCs w:val="24"/>
                <w14:textFill>
                  <w14:solidFill>
                    <w14:schemeClr w14:val="tx1"/>
                  </w14:solidFill>
                </w14:textFill>
              </w:rPr>
            </w:pPr>
          </w:p>
        </w:tc>
      </w:tr>
      <w:tr w14:paraId="7046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vAlign w:val="center"/>
          </w:tcPr>
          <w:p w14:paraId="6639DAE7">
            <w:pPr>
              <w:spacing w:line="460" w:lineRule="exact"/>
              <w:rPr>
                <w:rFonts w:hint="eastAsia" w:ascii="华文楷体" w:hAnsi="华文楷体" w:eastAsia="华文楷体" w:cs="华文楷体"/>
                <w:b/>
                <w:color w:val="000000" w:themeColor="text1"/>
                <w:kern w:val="0"/>
                <w:sz w:val="24"/>
                <w:szCs w:val="24"/>
                <w14:textFill>
                  <w14:solidFill>
                    <w14:schemeClr w14:val="tx1"/>
                  </w14:solidFill>
                </w14:textFill>
              </w:rPr>
            </w:pPr>
            <w:r>
              <w:rPr>
                <w:rFonts w:ascii="华文楷体" w:hAnsi="华文楷体" w:eastAsia="华文楷体" w:cs="华文楷体"/>
                <w:b/>
                <w:color w:val="000000" w:themeColor="text1"/>
                <w:kern w:val="0"/>
                <w:sz w:val="24"/>
                <w:szCs w:val="24"/>
                <w14:textFill>
                  <w14:solidFill>
                    <w14:schemeClr w14:val="tx1"/>
                  </w14:solidFill>
                </w14:textFill>
              </w:rPr>
              <w:t>合计（元）：</w:t>
            </w:r>
          </w:p>
        </w:tc>
        <w:tc>
          <w:tcPr>
            <w:tcW w:w="584" w:type="pct"/>
            <w:tcBorders>
              <w:top w:val="single" w:color="auto" w:sz="4" w:space="0"/>
              <w:left w:val="single" w:color="auto" w:sz="4" w:space="0"/>
              <w:bottom w:val="single" w:color="auto" w:sz="4" w:space="0"/>
              <w:right w:val="single" w:color="auto" w:sz="4" w:space="0"/>
            </w:tcBorders>
            <w:vAlign w:val="center"/>
          </w:tcPr>
          <w:p w14:paraId="0590264E">
            <w:pPr>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c>
          <w:tcPr>
            <w:tcW w:w="649" w:type="pct"/>
            <w:tcBorders>
              <w:top w:val="single" w:color="auto" w:sz="4" w:space="0"/>
              <w:left w:val="single" w:color="auto" w:sz="4" w:space="0"/>
              <w:bottom w:val="single" w:color="auto" w:sz="4" w:space="0"/>
              <w:right w:val="single" w:color="auto" w:sz="4" w:space="0"/>
            </w:tcBorders>
            <w:vAlign w:val="center"/>
          </w:tcPr>
          <w:p w14:paraId="4EF90523">
            <w:pPr>
              <w:jc w:val="center"/>
              <w:rPr>
                <w:rFonts w:hint="eastAsia" w:ascii="华文楷体" w:hAnsi="华文楷体" w:eastAsia="华文楷体" w:cs="华文楷体"/>
                <w:b/>
                <w:color w:val="000000" w:themeColor="text1"/>
                <w:kern w:val="0"/>
                <w:sz w:val="24"/>
                <w:szCs w:val="24"/>
                <w14:textFill>
                  <w14:solidFill>
                    <w14:schemeClr w14:val="tx1"/>
                  </w14:solidFill>
                </w14:textFill>
              </w:rPr>
            </w:pPr>
          </w:p>
        </w:tc>
      </w:tr>
    </w:tbl>
    <w:p w14:paraId="3E29B8AC">
      <w:pPr>
        <w:rPr>
          <w:rFonts w:hint="eastAsia" w:ascii="宋体" w:hAnsi="宋体" w:cs="宋体"/>
          <w:color w:val="000000" w:themeColor="text1"/>
          <w:sz w:val="24"/>
          <w:szCs w:val="24"/>
          <w14:textFill>
            <w14:solidFill>
              <w14:schemeClr w14:val="tx1"/>
            </w14:solidFill>
          </w14:textFill>
        </w:rPr>
      </w:pPr>
    </w:p>
    <w:p w14:paraId="4BC94DA9">
      <w:pPr>
        <w:spacing w:line="360" w:lineRule="auto"/>
        <w:rPr>
          <w:rFonts w:hint="eastAsia" w:ascii="宋体" w:hAnsi="宋体" w:cs="宋体"/>
          <w:color w:val="000000" w:themeColor="text1"/>
          <w:sz w:val="24"/>
          <w:szCs w:val="24"/>
          <w14:textFill>
            <w14:solidFill>
              <w14:schemeClr w14:val="tx1"/>
            </w14:solidFill>
          </w14:textFill>
        </w:rPr>
        <w:sectPr>
          <w:headerReference r:id="rId10" w:type="default"/>
          <w:footerReference r:id="rId11" w:type="default"/>
          <w:pgSz w:w="11906" w:h="16838"/>
          <w:pgMar w:top="1440" w:right="1800" w:bottom="1440" w:left="1800" w:header="851" w:footer="992" w:gutter="0"/>
          <w:pgNumType w:start="1"/>
          <w:cols w:space="720" w:num="1"/>
          <w:docGrid w:type="lines" w:linePitch="312" w:charSpace="0"/>
        </w:sectPr>
      </w:pPr>
    </w:p>
    <w:p w14:paraId="26BF78C1">
      <w:pPr>
        <w:spacing w:line="360" w:lineRule="auto"/>
        <w:rPr>
          <w:rFonts w:hint="eastAsia"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附件2：</w:t>
      </w:r>
      <w:r>
        <w:rPr>
          <w:rFonts w:hint="eastAsia" w:ascii="宋体" w:hAnsi="宋体" w:cs="宋体"/>
          <w:color w:val="000000" w:themeColor="text1"/>
          <w:sz w:val="24"/>
          <w:szCs w:val="24"/>
          <w14:textFill>
            <w14:solidFill>
              <w14:schemeClr w14:val="tx1"/>
            </w14:solidFill>
          </w14:textFill>
        </w:rPr>
        <w:t>《</w:t>
      </w:r>
      <w:r>
        <w:rPr>
          <w:rFonts w:ascii="宋体" w:hAnsi="宋体" w:cs="宋体"/>
          <w:color w:val="000000" w:themeColor="text1"/>
          <w:sz w:val="24"/>
          <w:szCs w:val="24"/>
          <w14:textFill>
            <w14:solidFill>
              <w14:schemeClr w14:val="tx1"/>
            </w14:solidFill>
          </w14:textFill>
        </w:rPr>
        <w:t>厦门市大宗货物政府采购供货验收单</w:t>
      </w:r>
      <w:r>
        <w:rPr>
          <w:rFonts w:hint="eastAsia" w:ascii="宋体" w:hAnsi="宋体" w:cs="宋体"/>
          <w:color w:val="000000" w:themeColor="text1"/>
          <w:sz w:val="24"/>
          <w:szCs w:val="24"/>
          <w14:textFill>
            <w14:solidFill>
              <w14:schemeClr w14:val="tx1"/>
            </w14:solidFill>
          </w14:textFill>
        </w:rPr>
        <w:t>》</w:t>
      </w:r>
    </w:p>
    <w:p w14:paraId="73DB9220">
      <w:pPr>
        <w:spacing w:line="360" w:lineRule="auto"/>
        <w:rPr>
          <w:rFonts w:hint="eastAsia" w:ascii="宋体" w:hAnsi="宋体" w:cs="宋体"/>
          <w:color w:val="000000" w:themeColor="text1"/>
          <w:sz w:val="24"/>
          <w:szCs w:val="24"/>
          <w14:textFill>
            <w14:solidFill>
              <w14:schemeClr w14:val="tx1"/>
            </w14:solidFill>
          </w14:textFill>
        </w:rPr>
      </w:pPr>
      <w:r>
        <w:rPr>
          <w:rFonts w:ascii="宋体" w:hAnsi="宋体" w:cs="宋体"/>
          <w:b/>
          <w:bCs/>
          <w:color w:val="000000" w:themeColor="text1"/>
          <w:sz w:val="24"/>
          <w:szCs w:val="24"/>
          <w14:textFill>
            <w14:solidFill>
              <w14:schemeClr w14:val="tx1"/>
            </w14:solidFill>
          </w14:textFill>
        </w:rPr>
        <w:drawing>
          <wp:inline distT="0" distB="0" distL="114300" distR="114300">
            <wp:extent cx="5271770" cy="7526655"/>
            <wp:effectExtent l="0" t="0" r="508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30E557D0">
      <w:pPr>
        <w:spacing w:line="360" w:lineRule="auto"/>
        <w:jc w:val="center"/>
        <w:rPr>
          <w:rFonts w:hint="eastAsia" w:ascii="宋体" w:hAnsi="宋体" w:cs="宋体"/>
          <w:b/>
          <w:bCs/>
          <w:color w:val="000000" w:themeColor="text1"/>
          <w:sz w:val="24"/>
          <w:szCs w:val="24"/>
          <w14:textFill>
            <w14:solidFill>
              <w14:schemeClr w14:val="tx1"/>
            </w14:solidFill>
          </w14:textFill>
        </w:rPr>
      </w:pPr>
    </w:p>
    <w:p w14:paraId="48719FF4">
      <w:pPr>
        <w:spacing w:line="360" w:lineRule="auto"/>
        <w:rPr>
          <w:rFonts w:hint="eastAsia" w:ascii="宋体" w:hAnsi="宋体" w:cs="宋体"/>
          <w:color w:val="000000" w:themeColor="text1"/>
          <w:sz w:val="24"/>
          <w:szCs w:val="24"/>
          <w14:textFill>
            <w14:solidFill>
              <w14:schemeClr w14:val="tx1"/>
            </w14:solidFill>
          </w14:textFill>
        </w:rPr>
      </w:pPr>
    </w:p>
    <w:p w14:paraId="406886CF">
      <w:pPr>
        <w:spacing w:line="360" w:lineRule="auto"/>
        <w:ind w:firstLine="2891" w:firstLineChars="1200"/>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XM2026-</w:t>
      </w:r>
      <w:r>
        <w:rPr>
          <w:rFonts w:ascii="宋体" w:hAnsi="宋体" w:cs="宋体"/>
          <w:color w:val="000000" w:themeColor="text1"/>
          <w:sz w:val="24"/>
          <w:szCs w:val="24"/>
          <w14:textFill>
            <w14:solidFill>
              <w14:schemeClr w14:val="tx1"/>
            </w14:solidFill>
          </w14:textFill>
        </w:rPr>
        <w:t>DZ0025</w:t>
      </w:r>
      <w:r>
        <w:rPr>
          <w:rFonts w:hint="eastAsia" w:ascii="宋体" w:hAnsi="宋体" w:cs="宋体"/>
          <w:b/>
          <w:bCs/>
          <w:color w:val="000000" w:themeColor="text1"/>
          <w:sz w:val="24"/>
          <w:szCs w:val="24"/>
          <w14:textFill>
            <w14:solidFill>
              <w14:schemeClr w14:val="tx1"/>
            </w14:solidFill>
          </w14:textFill>
        </w:rPr>
        <w:t xml:space="preserve">   买卖合同</w:t>
      </w:r>
    </w:p>
    <w:p w14:paraId="19862751">
      <w:pPr>
        <w:spacing w:line="360" w:lineRule="auto"/>
        <w:ind w:right="480"/>
        <w:jc w:val="center"/>
        <w:rPr>
          <w:rFonts w:hint="eastAsia" w:ascii="宋体" w:hAnsi="宋体" w:cs="宋体"/>
          <w:color w:val="000000" w:themeColor="text1"/>
          <w:sz w:val="24"/>
          <w:szCs w:val="24"/>
          <w14:textFill>
            <w14:solidFill>
              <w14:schemeClr w14:val="tx1"/>
            </w14:solidFill>
          </w14:textFill>
        </w:rPr>
      </w:pPr>
    </w:p>
    <w:p w14:paraId="2549E760">
      <w:pPr>
        <w:spacing w:line="360" w:lineRule="auto"/>
        <w:ind w:right="480"/>
        <w:jc w:val="center"/>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合同编号：</w:t>
      </w:r>
    </w:p>
    <w:p w14:paraId="2CE0D993">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买方：厦门市国土空间和交通研究中心（厦门规划展览馆）</w:t>
      </w:r>
    </w:p>
    <w:p w14:paraId="76C6223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卖方：厦门万翔网络商务有限公司</w:t>
      </w:r>
    </w:p>
    <w:p w14:paraId="22DDC04B">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现根据项目编号:</w:t>
      </w:r>
      <w:r>
        <w:rPr>
          <w:rFonts w:hint="eastAsia" w:ascii="宋体" w:hAnsi="宋体" w:cs="宋体"/>
          <w:color w:val="000000" w:themeColor="text1"/>
          <w:sz w:val="24"/>
          <w:szCs w:val="24"/>
          <w:u w:val="single"/>
          <w14:textFill>
            <w14:solidFill>
              <w14:schemeClr w14:val="tx1"/>
            </w14:solidFill>
          </w14:textFill>
        </w:rPr>
        <w:t>XM2026-DZ0025</w:t>
      </w:r>
      <w:r>
        <w:rPr>
          <w:rFonts w:hint="eastAsia" w:ascii="宋体" w:hAnsi="宋体" w:cs="宋体"/>
          <w:color w:val="000000" w:themeColor="text1"/>
          <w:sz w:val="24"/>
          <w:szCs w:val="24"/>
          <w14:textFill>
            <w14:solidFill>
              <w14:schemeClr w14:val="tx1"/>
            </w14:solidFill>
          </w14:textFill>
        </w:rPr>
        <w:t>的招标（采购）文件、投标（报价）文件以及评审结果通知书（中标/成交供应商为：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）。买卖双方经协商一致，就中标/成交供应商按合同约定/买方需求对合同标的物进行送货、安装及履行售后服务等义务，卖方负责协助配合买方及中标/成交供应商履行合同约定，特制定本合同，以资共同遵守：</w:t>
      </w:r>
    </w:p>
    <w:p w14:paraId="72E3DDD2">
      <w:pPr>
        <w:tabs>
          <w:tab w:val="left" w:pos="315"/>
        </w:tabs>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1、合同标的物和价格（详见附件）</w:t>
      </w:r>
    </w:p>
    <w:tbl>
      <w:tblPr>
        <w:tblStyle w:val="11"/>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636978C3">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187E7971">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品名</w:t>
            </w:r>
          </w:p>
        </w:tc>
        <w:tc>
          <w:tcPr>
            <w:tcW w:w="2268" w:type="dxa"/>
            <w:tcBorders>
              <w:top w:val="single" w:color="auto" w:sz="4" w:space="0"/>
              <w:left w:val="nil"/>
              <w:bottom w:val="single" w:color="auto" w:sz="4" w:space="0"/>
              <w:right w:val="single" w:color="auto" w:sz="4" w:space="0"/>
            </w:tcBorders>
            <w:vAlign w:val="center"/>
          </w:tcPr>
          <w:p w14:paraId="1024E08C">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规格</w:t>
            </w:r>
          </w:p>
        </w:tc>
        <w:tc>
          <w:tcPr>
            <w:tcW w:w="1817" w:type="dxa"/>
            <w:tcBorders>
              <w:top w:val="single" w:color="auto" w:sz="4" w:space="0"/>
              <w:left w:val="nil"/>
              <w:bottom w:val="single" w:color="auto" w:sz="4" w:space="0"/>
              <w:right w:val="single" w:color="auto" w:sz="4" w:space="0"/>
            </w:tcBorders>
            <w:vAlign w:val="center"/>
          </w:tcPr>
          <w:p w14:paraId="7B19193D">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制造商</w:t>
            </w:r>
          </w:p>
        </w:tc>
        <w:tc>
          <w:tcPr>
            <w:tcW w:w="1338" w:type="dxa"/>
            <w:tcBorders>
              <w:top w:val="single" w:color="auto" w:sz="4" w:space="0"/>
              <w:left w:val="nil"/>
              <w:bottom w:val="single" w:color="auto" w:sz="4" w:space="0"/>
              <w:right w:val="single" w:color="auto" w:sz="4" w:space="0"/>
            </w:tcBorders>
            <w:vAlign w:val="center"/>
          </w:tcPr>
          <w:p w14:paraId="00B8F805">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数量</w:t>
            </w:r>
          </w:p>
        </w:tc>
        <w:tc>
          <w:tcPr>
            <w:tcW w:w="1661" w:type="dxa"/>
            <w:tcBorders>
              <w:top w:val="single" w:color="auto" w:sz="4" w:space="0"/>
              <w:left w:val="nil"/>
              <w:bottom w:val="single" w:color="auto" w:sz="4" w:space="0"/>
              <w:right w:val="single" w:color="auto" w:sz="4" w:space="0"/>
            </w:tcBorders>
            <w:vAlign w:val="center"/>
          </w:tcPr>
          <w:p w14:paraId="22925F5D">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合同总价，金额</w:t>
            </w:r>
          </w:p>
        </w:tc>
      </w:tr>
      <w:tr w14:paraId="42A98FCD">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048CEE0B">
            <w:pPr>
              <w:widowControl/>
              <w:spacing w:line="360" w:lineRule="auto"/>
              <w:ind w:firstLine="240" w:firstLineChars="100"/>
              <w:jc w:val="left"/>
              <w:rPr>
                <w:rFonts w:hint="eastAsia" w:ascii="宋体" w:hAnsi="宋体" w:cs="宋体"/>
                <w:color w:val="000000" w:themeColor="text1"/>
                <w:kern w:val="0"/>
                <w:sz w:val="24"/>
                <w:szCs w:val="24"/>
                <w14:textFill>
                  <w14:solidFill>
                    <w14:schemeClr w14:val="tx1"/>
                  </w14:solidFill>
                </w14:textFill>
              </w:rPr>
            </w:pPr>
            <w:bookmarkStart w:id="45" w:name="OLE_LINK39"/>
            <w:bookmarkStart w:id="46" w:name="OLE_LINK2"/>
            <w:r>
              <w:rPr>
                <w:rFonts w:hint="eastAsia" w:ascii="宋体" w:hAnsi="宋体" w:cs="宋体"/>
                <w:color w:val="000000" w:themeColor="text1"/>
                <w:sz w:val="24"/>
                <w:szCs w:val="24"/>
                <w14:textFill>
                  <w14:solidFill>
                    <w14:schemeClr w14:val="tx1"/>
                  </w14:solidFill>
                </w14:textFill>
              </w:rPr>
              <w:t>LED显示屏</w:t>
            </w:r>
            <w:bookmarkEnd w:id="45"/>
            <w:bookmarkEnd w:id="46"/>
          </w:p>
        </w:tc>
        <w:tc>
          <w:tcPr>
            <w:tcW w:w="2268" w:type="dxa"/>
            <w:tcBorders>
              <w:top w:val="nil"/>
              <w:left w:val="nil"/>
              <w:bottom w:val="single" w:color="auto" w:sz="4" w:space="0"/>
              <w:right w:val="single" w:color="auto" w:sz="4" w:space="0"/>
            </w:tcBorders>
            <w:vAlign w:val="center"/>
          </w:tcPr>
          <w:p w14:paraId="38F1389F">
            <w:pPr>
              <w:spacing w:line="360" w:lineRule="auto"/>
              <w:rPr>
                <w:rFonts w:hint="eastAsia" w:ascii="宋体" w:hAnsi="宋体" w:cs="宋体"/>
                <w:color w:val="000000" w:themeColor="text1"/>
                <w:sz w:val="24"/>
                <w:szCs w:val="24"/>
                <w14:textFill>
                  <w14:solidFill>
                    <w14:schemeClr w14:val="tx1"/>
                  </w14:solidFill>
                </w14:textFill>
              </w:rPr>
            </w:pPr>
          </w:p>
        </w:tc>
        <w:tc>
          <w:tcPr>
            <w:tcW w:w="1817" w:type="dxa"/>
            <w:tcBorders>
              <w:top w:val="nil"/>
              <w:left w:val="single" w:color="auto" w:sz="4" w:space="0"/>
              <w:bottom w:val="single" w:color="auto" w:sz="4" w:space="0"/>
              <w:right w:val="single" w:color="auto" w:sz="4" w:space="0"/>
            </w:tcBorders>
            <w:vAlign w:val="center"/>
          </w:tcPr>
          <w:p w14:paraId="451F5AEE">
            <w:pPr>
              <w:spacing w:line="360" w:lineRule="auto"/>
              <w:jc w:val="center"/>
              <w:rPr>
                <w:rFonts w:hint="eastAsia" w:ascii="宋体" w:hAnsi="宋体" w:cs="宋体"/>
                <w:color w:val="000000" w:themeColor="text1"/>
                <w:sz w:val="24"/>
                <w:szCs w:val="24"/>
                <w14:textFill>
                  <w14:solidFill>
                    <w14:schemeClr w14:val="tx1"/>
                  </w14:solidFill>
                </w14:textFill>
              </w:rPr>
            </w:pPr>
          </w:p>
        </w:tc>
        <w:tc>
          <w:tcPr>
            <w:tcW w:w="1338" w:type="dxa"/>
            <w:tcBorders>
              <w:top w:val="nil"/>
              <w:left w:val="nil"/>
              <w:bottom w:val="single" w:color="auto" w:sz="4" w:space="0"/>
              <w:right w:val="single" w:color="auto" w:sz="4" w:space="0"/>
            </w:tcBorders>
            <w:vAlign w:val="center"/>
          </w:tcPr>
          <w:p w14:paraId="1884C23D">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1批（详见附件：价格清单）</w:t>
            </w:r>
          </w:p>
        </w:tc>
        <w:tc>
          <w:tcPr>
            <w:tcW w:w="1661" w:type="dxa"/>
            <w:tcBorders>
              <w:top w:val="nil"/>
              <w:left w:val="nil"/>
              <w:bottom w:val="single" w:color="auto" w:sz="4" w:space="0"/>
              <w:right w:val="single" w:color="auto" w:sz="4" w:space="0"/>
            </w:tcBorders>
            <w:vAlign w:val="center"/>
          </w:tcPr>
          <w:p w14:paraId="4C282E66">
            <w:pPr>
              <w:widowControl/>
              <w:spacing w:line="360" w:lineRule="auto"/>
              <w:jc w:val="center"/>
              <w:rPr>
                <w:rFonts w:hint="eastAsia" w:ascii="宋体" w:hAnsi="宋体" w:cs="宋体"/>
                <w:color w:val="000000" w:themeColor="text1"/>
                <w:kern w:val="0"/>
                <w:sz w:val="24"/>
                <w:szCs w:val="24"/>
                <w14:textFill>
                  <w14:solidFill>
                    <w14:schemeClr w14:val="tx1"/>
                  </w14:solidFill>
                </w14:textFill>
              </w:rPr>
            </w:pPr>
          </w:p>
        </w:tc>
      </w:tr>
      <w:tr w14:paraId="4BA3CEE9">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4CF9A99C">
            <w:pPr>
              <w:widowControl/>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bCs/>
                <w:color w:val="000000" w:themeColor="text1"/>
                <w:kern w:val="0"/>
                <w:sz w:val="24"/>
                <w:szCs w:val="24"/>
                <w14:textFill>
                  <w14:solidFill>
                    <w14:schemeClr w14:val="tx1"/>
                  </w14:solidFill>
                </w14:textFill>
              </w:rPr>
              <w:t>合同总价（中标总价）：</w:t>
            </w:r>
            <w:r>
              <w:rPr>
                <w:rFonts w:hint="eastAsia" w:ascii="宋体" w:hAnsi="宋体" w:cs="宋体"/>
                <w:b/>
                <w:bCs/>
                <w:color w:val="000000" w:themeColor="text1"/>
                <w:sz w:val="24"/>
                <w:szCs w:val="24"/>
                <w14:textFill>
                  <w14:solidFill>
                    <w14:schemeClr w14:val="tx1"/>
                  </w14:solidFill>
                </w14:textFill>
              </w:rPr>
              <w:t>人民币</w:t>
            </w:r>
            <w:r>
              <w:rPr>
                <w:rFonts w:hint="eastAsia" w:ascii="宋体" w:hAnsi="宋体" w:cs="宋体"/>
                <w:b/>
                <w:bCs/>
                <w:color w:val="000000" w:themeColor="text1"/>
                <w:sz w:val="24"/>
                <w:szCs w:val="24"/>
                <w:u w:val="single"/>
                <w14:textFill>
                  <w14:solidFill>
                    <w14:schemeClr w14:val="tx1"/>
                  </w14:solidFill>
                </w14:textFill>
              </w:rPr>
              <w:t xml:space="preserve">        </w:t>
            </w:r>
            <w:r>
              <w:rPr>
                <w:rFonts w:hint="eastAsia" w:ascii="宋体" w:hAnsi="宋体" w:cs="宋体"/>
                <w:b/>
                <w:bCs/>
                <w:color w:val="000000" w:themeColor="text1"/>
                <w:kern w:val="0"/>
                <w:sz w:val="24"/>
                <w:szCs w:val="24"/>
                <w14:textFill>
                  <w14:solidFill>
                    <w14:schemeClr w14:val="tx1"/>
                  </w14:solidFill>
                </w14:textFill>
              </w:rPr>
              <w:t>元整</w:t>
            </w:r>
            <w:r>
              <w:rPr>
                <w:rFonts w:hint="eastAsia" w:ascii="宋体" w:hAnsi="宋体" w:cs="宋体"/>
                <w:bCs/>
                <w:color w:val="000000" w:themeColor="text1"/>
                <w:sz w:val="24"/>
                <w:szCs w:val="24"/>
                <w14:textFill>
                  <w14:solidFill>
                    <w14:schemeClr w14:val="tx1"/>
                  </w14:solidFill>
                </w14:textFill>
              </w:rPr>
              <w:t>。货物验收完成后的保修等售后服务由买方与</w:t>
            </w:r>
            <w:r>
              <w:rPr>
                <w:rFonts w:hint="eastAsia" w:ascii="宋体" w:hAnsi="宋体" w:cs="宋体"/>
                <w:color w:val="000000" w:themeColor="text1"/>
                <w:sz w:val="24"/>
                <w:szCs w:val="24"/>
                <w14:textFill>
                  <w14:solidFill>
                    <w14:schemeClr w14:val="tx1"/>
                  </w14:solidFill>
                </w14:textFill>
              </w:rPr>
              <w:t>中标/成交</w:t>
            </w:r>
            <w:r>
              <w:rPr>
                <w:rFonts w:hint="eastAsia" w:ascii="宋体" w:hAnsi="宋体" w:cs="宋体"/>
                <w:bCs/>
                <w:color w:val="000000" w:themeColor="text1"/>
                <w:sz w:val="24"/>
                <w:szCs w:val="24"/>
                <w14:textFill>
                  <w14:solidFill>
                    <w14:schemeClr w14:val="tx1"/>
                  </w14:solidFill>
                </w14:textFill>
              </w:rPr>
              <w:t>供应商另行签订服务合同单独约定</w:t>
            </w:r>
            <w:r>
              <w:rPr>
                <w:rFonts w:hint="eastAsia" w:ascii="宋体" w:hAnsi="宋体" w:cs="宋体"/>
                <w:bCs/>
                <w:color w:val="000000" w:themeColor="text1"/>
                <w:kern w:val="0"/>
                <w:sz w:val="24"/>
                <w:szCs w:val="24"/>
                <w14:textFill>
                  <w14:solidFill>
                    <w14:schemeClr w14:val="tx1"/>
                  </w14:solidFill>
                </w14:textFill>
              </w:rPr>
              <w:t>，与本合同各自独立履行、互不影响。</w:t>
            </w:r>
          </w:p>
        </w:tc>
      </w:tr>
    </w:tbl>
    <w:p w14:paraId="3E72DAEF">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2、交货</w:t>
      </w:r>
    </w:p>
    <w:p w14:paraId="521623C6">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2.1交付使用期：</w:t>
      </w:r>
    </w:p>
    <w:p w14:paraId="2957745A">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2.2交货地点：买方指定的地点。</w:t>
      </w:r>
    </w:p>
    <w:p w14:paraId="7A3293E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2.3到货签收：合同标的物由中标/成交供应商根据买方要求送货至买方指定地点，不经过卖方仓库。中标/成交供应商每批次供货到买方指定地点后，买方应当对到货数量、型号等进行清点签收</w:t>
      </w:r>
      <w:r>
        <w:rPr>
          <w:rFonts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如买方拒绝签收，则中标/成交供应商有权拒绝交货；除疫情、自然灾害等不可抗力因素外，中标/成交供应商已交货但买方未签收的</w:t>
      </w:r>
      <w:r>
        <w:rPr>
          <w:rFonts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买方应按第3条确定验收时间并按照第4条约定的付款条件向卖方支付约定的货款。</w:t>
      </w:r>
    </w:p>
    <w:p w14:paraId="103F37D3">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3、验收</w:t>
      </w:r>
    </w:p>
    <w:p w14:paraId="34CBDD54">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3.1买方负责承担合同货物安装过程中相应的协调、配合工作。</w:t>
      </w:r>
    </w:p>
    <w:p w14:paraId="3D937E2C">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3.2安装工作完成后，买方负责对合同货物进行验收。</w:t>
      </w:r>
    </w:p>
    <w:p w14:paraId="6EE3D742">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3.3 LED屏采购为厦门规划展览馆提升改造工程的一部分，改造工程的项目验收为本项目的最终验收。</w:t>
      </w:r>
    </w:p>
    <w:p w14:paraId="038432D3">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3.4最终验收时，买方填写《厦门市大宗货物政府采购供货验收单》中货物相关信息，签署验收意见和加盖公章，并分别提供一份给中标供应商和卖方。</w:t>
      </w:r>
    </w:p>
    <w:p w14:paraId="05B2D45E">
      <w:pPr>
        <w:tabs>
          <w:tab w:val="left" w:pos="5130"/>
        </w:tabs>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4、</w:t>
      </w:r>
      <w:r>
        <w:rPr>
          <w:rFonts w:ascii="宋体" w:hAnsi="宋体" w:cs="宋体"/>
          <w:b/>
          <w:color w:val="000000" w:themeColor="text1"/>
          <w:sz w:val="24"/>
          <w:szCs w:val="24"/>
          <w14:textFill>
            <w14:solidFill>
              <w14:schemeClr w14:val="tx1"/>
            </w14:solidFill>
          </w14:textFill>
        </w:rPr>
        <w:t>履约保证金及</w:t>
      </w:r>
      <w:r>
        <w:rPr>
          <w:rFonts w:hint="eastAsia" w:ascii="宋体" w:hAnsi="宋体" w:cs="宋体"/>
          <w:b/>
          <w:color w:val="000000" w:themeColor="text1"/>
          <w:sz w:val="24"/>
          <w:szCs w:val="24"/>
          <w14:textFill>
            <w14:solidFill>
              <w14:schemeClr w14:val="tx1"/>
            </w14:solidFill>
          </w14:textFill>
        </w:rPr>
        <w:t>付款方式</w:t>
      </w:r>
    </w:p>
    <w:p w14:paraId="3C207CA2">
      <w:pPr>
        <w:pStyle w:val="5"/>
        <w:spacing w:line="360" w:lineRule="auto"/>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4.1履约保证金</w:t>
      </w:r>
    </w:p>
    <w:p w14:paraId="008C8701">
      <w:pPr>
        <w:tabs>
          <w:tab w:val="left" w:pos="5130"/>
        </w:tabs>
        <w:spacing w:line="360" w:lineRule="auto"/>
        <w:ind w:firstLine="480" w:firstLineChars="200"/>
        <w:rPr>
          <w:rFonts w:hint="eastAsia" w:ascii="宋体" w:hAnsi="宋体" w:cs="宋体"/>
          <w:color w:val="000000" w:themeColor="text1"/>
          <w:kern w:val="0"/>
          <w:sz w:val="24"/>
          <w:szCs w:val="24"/>
          <w14:textFill>
            <w14:solidFill>
              <w14:schemeClr w14:val="tx1"/>
            </w14:solidFill>
          </w14:textFill>
        </w:rPr>
      </w:pPr>
      <w:r>
        <w:rPr>
          <w:rFonts w:hint="eastAsia" w:ascii="宋体" w:hAnsi="宋体"/>
          <w:bCs/>
          <w:color w:val="000000" w:themeColor="text1"/>
          <w:kern w:val="0"/>
          <w:sz w:val="24"/>
          <w:szCs w:val="24"/>
          <w14:textFill>
            <w14:solidFill>
              <w14:schemeClr w14:val="tx1"/>
            </w14:solidFill>
          </w14:textFill>
        </w:rPr>
        <w:t>合同签订后</w:t>
      </w:r>
      <w:r>
        <w:rPr>
          <w:rFonts w:ascii="宋体" w:hAnsi="宋体"/>
          <w:bCs/>
          <w:color w:val="000000" w:themeColor="text1"/>
          <w:kern w:val="0"/>
          <w:sz w:val="24"/>
          <w:szCs w:val="24"/>
          <w14:textFill>
            <w14:solidFill>
              <w14:schemeClr w14:val="tx1"/>
            </w14:solidFill>
          </w14:textFill>
        </w:rPr>
        <w:t>，</w:t>
      </w:r>
      <w:r>
        <w:rPr>
          <w:rFonts w:hint="eastAsia" w:ascii="宋体" w:hAnsi="宋体"/>
          <w:bCs/>
          <w:color w:val="000000" w:themeColor="text1"/>
          <w:kern w:val="0"/>
          <w:sz w:val="24"/>
          <w:szCs w:val="24"/>
          <w14:textFill>
            <w14:solidFill>
              <w14:schemeClr w14:val="tx1"/>
            </w14:solidFill>
          </w14:textFill>
        </w:rPr>
        <w:t>中标供应商</w:t>
      </w:r>
      <w:r>
        <w:rPr>
          <w:rFonts w:hint="eastAsia" w:ascii="宋体" w:hAnsi="宋体"/>
          <w:bCs/>
          <w:color w:val="000000" w:themeColor="text1"/>
          <w:sz w:val="24"/>
          <w:szCs w:val="24"/>
          <w14:textFill>
            <w14:solidFill>
              <w14:schemeClr w14:val="tx1"/>
            </w14:solidFill>
          </w14:textFill>
        </w:rPr>
        <w:t>向卖方</w:t>
      </w:r>
      <w:r>
        <w:rPr>
          <w:rFonts w:hint="eastAsia" w:ascii="宋体" w:hAnsi="宋体"/>
          <w:bCs/>
          <w:color w:val="000000" w:themeColor="text1"/>
          <w:kern w:val="0"/>
          <w:sz w:val="24"/>
          <w:szCs w:val="24"/>
          <w14:textFill>
            <w14:solidFill>
              <w14:schemeClr w14:val="tx1"/>
            </w14:solidFill>
          </w14:textFill>
        </w:rPr>
        <w:t>支付合同总价的</w:t>
      </w:r>
      <w:r>
        <w:rPr>
          <w:rFonts w:ascii="宋体" w:hAnsi="宋体"/>
          <w:bCs/>
          <w:color w:val="000000" w:themeColor="text1"/>
          <w:kern w:val="0"/>
          <w:sz w:val="24"/>
          <w:szCs w:val="24"/>
          <w14:textFill>
            <w14:solidFill>
              <w14:schemeClr w14:val="tx1"/>
            </w14:solidFill>
          </w14:textFill>
        </w:rPr>
        <w:t>3%作为项目履约保证金，</w:t>
      </w:r>
      <w:r>
        <w:rPr>
          <w:rFonts w:hint="eastAsia" w:ascii="宋体" w:hAnsi="宋体" w:cs="宋体"/>
          <w:color w:val="000000" w:themeColor="text1"/>
          <w:kern w:val="0"/>
          <w:sz w:val="24"/>
          <w:szCs w:val="24"/>
          <w14:textFill>
            <w14:solidFill>
              <w14:schemeClr w14:val="tx1"/>
            </w14:solidFill>
          </w14:textFill>
        </w:rPr>
        <w:t>履约保证金可以转账、支票、汇票、本票或金融机构、担保机构出具的保函等形式交纳，且在合同签订时一并提交，质量保证期届满</w:t>
      </w:r>
      <w:r>
        <w:rPr>
          <w:rFonts w:ascii="宋体" w:hAnsi="宋体"/>
          <w:bCs/>
          <w:color w:val="000000" w:themeColor="text1"/>
          <w:kern w:val="0"/>
          <w:sz w:val="24"/>
          <w:szCs w:val="24"/>
          <w14:textFill>
            <w14:solidFill>
              <w14:schemeClr w14:val="tx1"/>
            </w14:solidFill>
          </w14:textFill>
        </w:rPr>
        <w:t>，经买方书面确认且无合同纠纷后</w:t>
      </w:r>
      <w:r>
        <w:rPr>
          <w:rFonts w:hint="eastAsia" w:ascii="宋体" w:hAnsi="宋体" w:cs="宋体"/>
          <w:color w:val="000000" w:themeColor="text1"/>
          <w:kern w:val="0"/>
          <w:sz w:val="24"/>
          <w:szCs w:val="24"/>
          <w14:textFill>
            <w14:solidFill>
              <w14:schemeClr w14:val="tx1"/>
            </w14:solidFill>
          </w14:textFill>
        </w:rPr>
        <w:t>7个工作日内，卖方向</w:t>
      </w:r>
      <w:r>
        <w:rPr>
          <w:rFonts w:hint="eastAsia" w:ascii="宋体" w:hAnsi="宋体" w:cs="宋体"/>
          <w:color w:val="000000" w:themeColor="text1"/>
          <w:sz w:val="24"/>
          <w:szCs w:val="24"/>
          <w14:textFill>
            <w14:solidFill>
              <w14:schemeClr w14:val="tx1"/>
            </w14:solidFill>
          </w14:textFill>
        </w:rPr>
        <w:t>中标</w:t>
      </w:r>
      <w:r>
        <w:rPr>
          <w:rFonts w:hint="eastAsia" w:ascii="宋体" w:hAnsi="宋体" w:cs="宋体"/>
          <w:color w:val="000000" w:themeColor="text1"/>
          <w:kern w:val="0"/>
          <w:sz w:val="24"/>
          <w:szCs w:val="24"/>
          <w14:textFill>
            <w14:solidFill>
              <w14:schemeClr w14:val="tx1"/>
            </w14:solidFill>
          </w14:textFill>
        </w:rPr>
        <w:t>供应商无息返还合同总价的3%履约保证金。（</w:t>
      </w:r>
      <w:r>
        <w:rPr>
          <w:rFonts w:hint="eastAsia" w:ascii="宋体" w:hAnsi="宋体" w:cs="宋体"/>
          <w:color w:val="000000" w:themeColor="text1"/>
          <w:sz w:val="24"/>
          <w:szCs w:val="24"/>
          <w14:textFill>
            <w14:solidFill>
              <w14:schemeClr w14:val="tx1"/>
            </w14:solidFill>
          </w14:textFill>
        </w:rPr>
        <w:t>经评审，若所有采购标的均为中小企业（含个体工商户）制造的货物，或者监狱企业提供本单位制造的货物；或者残疾人福利性单位提供本单位制造的货物（或提供其他残疾人福利性单位制造的货物），按约定比例的50%支付。</w:t>
      </w:r>
      <w:r>
        <w:rPr>
          <w:rFonts w:hint="eastAsia" w:ascii="宋体" w:hAnsi="宋体" w:cs="宋体"/>
          <w:color w:val="000000" w:themeColor="text1"/>
          <w:kern w:val="0"/>
          <w:sz w:val="24"/>
          <w:szCs w:val="24"/>
          <w14:textFill>
            <w14:solidFill>
              <w14:schemeClr w14:val="tx1"/>
            </w14:solidFill>
          </w14:textFill>
        </w:rPr>
        <w:t>）</w:t>
      </w:r>
    </w:p>
    <w:p w14:paraId="06A2DD5A">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4.2付款方式</w:t>
      </w:r>
    </w:p>
    <w:p w14:paraId="065D5F2A">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4.2.1合同签订后7个工作日内，卖方向买方开具</w:t>
      </w:r>
      <w:bookmarkStart w:id="47" w:name="OLE_LINK25"/>
      <w:r>
        <w:rPr>
          <w:rFonts w:hint="eastAsia" w:ascii="宋体" w:hAnsi="宋体" w:cs="宋体"/>
          <w:color w:val="000000" w:themeColor="text1"/>
          <w:sz w:val="24"/>
          <w:szCs w:val="24"/>
          <w14:textFill>
            <w14:solidFill>
              <w14:schemeClr w14:val="tx1"/>
            </w14:solidFill>
          </w14:textFill>
        </w:rPr>
        <w:t>等额增值税普通发票</w:t>
      </w:r>
      <w:bookmarkEnd w:id="47"/>
      <w:r>
        <w:rPr>
          <w:rFonts w:hint="eastAsia" w:ascii="宋体" w:hAnsi="宋体" w:cs="宋体"/>
          <w:color w:val="000000" w:themeColor="text1"/>
          <w:sz w:val="24"/>
          <w:szCs w:val="24"/>
          <w14:textFill>
            <w14:solidFill>
              <w14:schemeClr w14:val="tx1"/>
            </w14:solidFill>
          </w14:textFill>
        </w:rPr>
        <w:t>，买方向卖方支付合同总金额的30%款项作为预付款。</w:t>
      </w:r>
    </w:p>
    <w:p w14:paraId="14DB3FB2">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4.2.2全部设备（详见附件1：供货清单）进场并签收后，卖方向买方开具等额增值税普通发票，买方向卖方支付合同总金额的40%款项。</w:t>
      </w:r>
    </w:p>
    <w:p w14:paraId="5C858E98">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4.2.2卖方供货安装、调试完毕，买方验收合格后，卖方开具等额增值税普通发票、全部货物清单及买方签署的《厦门市大宗货物政府采购供货验收单》（合同附件2）给买方，买方在7个工作日内向卖方支付本合同总价30%的款项。</w:t>
      </w:r>
    </w:p>
    <w:p w14:paraId="44DE0F56">
      <w:pPr>
        <w:tabs>
          <w:tab w:val="left" w:pos="5130"/>
        </w:tabs>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4.2.3付款时需具备以下材料：</w:t>
      </w:r>
    </w:p>
    <w:p w14:paraId="1D79E620">
      <w:pPr>
        <w:tabs>
          <w:tab w:val="left" w:pos="5130"/>
        </w:tabs>
        <w:spacing w:line="360" w:lineRule="auto"/>
        <w:ind w:firstLine="720" w:firstLineChars="3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（1）买方、使用单位签署的《厦门市大宗货物政府采购供货验收单》；</w:t>
      </w:r>
    </w:p>
    <w:p w14:paraId="760CE226">
      <w:pPr>
        <w:tabs>
          <w:tab w:val="left" w:pos="5130"/>
        </w:tabs>
        <w:spacing w:line="360" w:lineRule="auto"/>
        <w:ind w:firstLine="720" w:firstLineChars="3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（2）货物发票（需附清单）；</w:t>
      </w:r>
    </w:p>
    <w:p w14:paraId="6D0A18C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4.2.4卖方指定收款账户如下：</w:t>
      </w:r>
    </w:p>
    <w:p w14:paraId="2537C1DD">
      <w:pPr>
        <w:spacing w:line="360" w:lineRule="auto"/>
        <w:ind w:firstLine="720" w:firstLineChars="300"/>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卖方全称：厦门万翔网络商务有限公司</w:t>
      </w:r>
    </w:p>
    <w:p w14:paraId="575FA435">
      <w:pPr>
        <w:spacing w:line="360" w:lineRule="auto"/>
        <w:ind w:firstLine="720" w:firstLineChars="3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开户行：中国建设银行股份有限公司厦门自贸试验区航空港支行</w:t>
      </w:r>
    </w:p>
    <w:p w14:paraId="3BB9B038">
      <w:pPr>
        <w:spacing w:line="360" w:lineRule="auto"/>
        <w:ind w:firstLine="720" w:firstLineChars="3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账号：35101570201052503924</w:t>
      </w:r>
    </w:p>
    <w:p w14:paraId="248CE73F">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5、售后服务</w:t>
      </w:r>
    </w:p>
    <w:p w14:paraId="32BA4425">
      <w:pPr>
        <w:tabs>
          <w:tab w:val="left" w:pos="0"/>
        </w:tabs>
        <w:adjustRightInd w:val="0"/>
        <w:spacing w:line="360" w:lineRule="auto"/>
        <w:ind w:firstLine="480" w:firstLineChars="200"/>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本合同不包含货物验收后的质保服务。货物验收后的质保、保修等售后服务由</w:t>
      </w:r>
      <w:r>
        <w:rPr>
          <w:rFonts w:hint="eastAsia" w:ascii="宋体" w:hAnsi="宋体" w:cs="宋体"/>
          <w:bCs/>
          <w:color w:val="000000" w:themeColor="text1"/>
          <w:sz w:val="24"/>
          <w:szCs w:val="24"/>
          <w:u w:val="single"/>
          <w14:textFill>
            <w14:solidFill>
              <w14:schemeClr w14:val="tx1"/>
            </w14:solidFill>
          </w14:textFill>
        </w:rPr>
        <w:t>中标/成交供应商</w:t>
      </w:r>
      <w:r>
        <w:rPr>
          <w:rFonts w:hint="eastAsia" w:ascii="宋体" w:hAnsi="宋体" w:cs="宋体"/>
          <w:bCs/>
          <w:color w:val="000000" w:themeColor="text1"/>
          <w:kern w:val="0"/>
          <w:sz w:val="24"/>
          <w:szCs w:val="24"/>
          <w:u w:val="single"/>
          <w14:textFill>
            <w14:solidFill>
              <w14:schemeClr w14:val="tx1"/>
            </w14:solidFill>
          </w14:textFill>
        </w:rPr>
        <w:t>提供，买方应就货物保修等售后服务与供应商另行签订相应服务合同，卖方不向买方承担保修等售后服务</w:t>
      </w:r>
      <w:r>
        <w:rPr>
          <w:rFonts w:ascii="宋体" w:hAnsi="宋体" w:cs="宋体"/>
          <w:bCs/>
          <w:color w:val="000000" w:themeColor="text1"/>
          <w:kern w:val="0"/>
          <w:sz w:val="24"/>
          <w:szCs w:val="24"/>
          <w:u w:val="single"/>
          <w14:textFill>
            <w14:solidFill>
              <w14:schemeClr w14:val="tx1"/>
            </w14:solidFill>
          </w14:textFill>
        </w:rPr>
        <w:t>义务</w:t>
      </w:r>
      <w:r>
        <w:rPr>
          <w:rFonts w:hint="eastAsia" w:ascii="宋体" w:hAnsi="宋体" w:cs="宋体"/>
          <w:bCs/>
          <w:color w:val="000000" w:themeColor="text1"/>
          <w:sz w:val="24"/>
          <w:szCs w:val="24"/>
          <w14:textFill>
            <w14:solidFill>
              <w14:schemeClr w14:val="tx1"/>
            </w14:solidFill>
          </w14:textFill>
        </w:rPr>
        <w:t>。</w:t>
      </w:r>
    </w:p>
    <w:p w14:paraId="24AB2746">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6、违约责任</w:t>
      </w:r>
    </w:p>
    <w:p w14:paraId="74DE816E">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6.1除不可抗力外，买方不能在本合同规定的时间内支付相应的货款时,卖方有权要求买方支付违约金,其支付办法是,每延迟一日,违约金为逾期应付款的万分之四,依此累加。</w:t>
      </w:r>
    </w:p>
    <w:p w14:paraId="7988FB8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6.2除不可抗力外，因卖方自身原因不能按时交货或完成安装时,应提前五天以书面的形式通知买方,并征得买方同意,否则应向买方支付违约金,其支付办法是,每延迟一日,违约金为逾期交货或安装部分价款的万分之四，依此累加。</w:t>
      </w:r>
    </w:p>
    <w:p w14:paraId="4EC9C425">
      <w:pPr>
        <w:spacing w:line="360" w:lineRule="auto"/>
        <w:ind w:firstLine="523" w:firstLineChars="218"/>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6.3一方违反合同造成另一方损失的，违约方应向守约方承担相应的赔偿责任。本合同约定的违约金不足以弥补守约方损失的，违约方应继续承担赔偿责任。</w:t>
      </w:r>
    </w:p>
    <w:p w14:paraId="4386D512">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7、不可抗力</w:t>
      </w:r>
    </w:p>
    <w:p w14:paraId="76F5F3D5">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2F9701CD">
      <w:pPr>
        <w:spacing w:line="360" w:lineRule="auto"/>
        <w:ind w:firstLine="470" w:firstLineChars="196"/>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7.2本合同中的不可抗力指不能预见、不能避免并不能克服的客观情况。包括但不限于：自然灾害如地震、台风、洪水、火灾。</w:t>
      </w:r>
    </w:p>
    <w:p w14:paraId="1C723B3B">
      <w:pPr>
        <w:spacing w:line="360" w:lineRule="auto"/>
        <w:ind w:firstLine="470" w:firstLineChars="196"/>
        <w:rPr>
          <w:rFonts w:hint="eastAsia"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7.3当事人一方因不可抗力的原因不能履行合同的，应及时通知对方，以减轻可能给对方造成的损失，并应当在合理期限内提供证明。</w:t>
      </w:r>
    </w:p>
    <w:p w14:paraId="182CF39B">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8、合同纠纷处理方式：</w:t>
      </w:r>
    </w:p>
    <w:p w14:paraId="55F52147">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因本合同或与本合同有关的一切事项发生争议，由双方友好协商解决。协商不成的，任何一方均可向</w:t>
      </w:r>
      <w:r>
        <w:rPr>
          <w:rFonts w:ascii="宋体" w:hAnsi="宋体" w:cs="宋体"/>
          <w:color w:val="000000" w:themeColor="text1"/>
          <w:sz w:val="24"/>
          <w:szCs w:val="24"/>
          <w14:textFill>
            <w14:solidFill>
              <w14:schemeClr w14:val="tx1"/>
            </w14:solidFill>
          </w14:textFill>
        </w:rPr>
        <w:t>合同履行地（交货地）人民法院提起诉讼</w:t>
      </w:r>
      <w:r>
        <w:rPr>
          <w:rFonts w:hint="eastAsia" w:ascii="宋体" w:hAnsi="宋体" w:cs="宋体"/>
          <w:color w:val="000000" w:themeColor="text1"/>
          <w:sz w:val="24"/>
          <w:szCs w:val="24"/>
          <w14:textFill>
            <w14:solidFill>
              <w14:schemeClr w14:val="tx1"/>
            </w14:solidFill>
          </w14:textFill>
        </w:rPr>
        <w:t>。</w:t>
      </w:r>
    </w:p>
    <w:p w14:paraId="0577DF0A">
      <w:pPr>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9、其他约定</w:t>
      </w:r>
    </w:p>
    <w:p w14:paraId="765D1390">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9.1买卖双方同意，卖方供货安装完成后，卖方即履行完毕所有合同义务。</w:t>
      </w:r>
    </w:p>
    <w:p w14:paraId="7D02079C">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9.2本合同未尽事宜，双方另行补充。</w:t>
      </w:r>
    </w:p>
    <w:p w14:paraId="2EEF859F">
      <w:pPr>
        <w:widowControl/>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9.3本项目的下述文件均为本合同不可分割的一部分，且应当互为解释；存在不一致时，应按下列顺序优先解释：</w:t>
      </w:r>
    </w:p>
    <w:p w14:paraId="2C966612">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（1）采购合同;</w:t>
      </w:r>
    </w:p>
    <w:p w14:paraId="1DE00803">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（2）买卖合同;</w:t>
      </w:r>
    </w:p>
    <w:p w14:paraId="422B1C43">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（3）招标文件及补充规定;</w:t>
      </w:r>
    </w:p>
    <w:p w14:paraId="2A79A33A">
      <w:pPr>
        <w:widowControl/>
        <w:spacing w:line="360" w:lineRule="auto"/>
        <w:ind w:firstLine="600" w:firstLineChars="25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（4）投标文件及澄清说明。</w:t>
      </w:r>
    </w:p>
    <w:p w14:paraId="6908CAA8">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9.4本合同一式伍份，经双方签订之日起生效。买方执</w:t>
      </w:r>
      <w:r>
        <w:rPr>
          <w:rFonts w:hint="eastAsia" w:ascii="宋体" w:hAnsi="宋体" w:cs="宋体"/>
          <w:color w:val="000000" w:themeColor="text1"/>
          <w:sz w:val="24"/>
          <w:szCs w:val="24"/>
          <w:u w:val="single"/>
          <w14:textFill>
            <w14:solidFill>
              <w14:schemeClr w14:val="tx1"/>
            </w14:solidFill>
          </w14:textFill>
        </w:rPr>
        <w:t>贰</w:t>
      </w:r>
      <w:r>
        <w:rPr>
          <w:rFonts w:hint="eastAsia" w:ascii="宋体" w:hAnsi="宋体" w:cs="宋体"/>
          <w:color w:val="000000" w:themeColor="text1"/>
          <w:sz w:val="24"/>
          <w:szCs w:val="24"/>
          <w14:textFill>
            <w14:solidFill>
              <w14:schemeClr w14:val="tx1"/>
            </w14:solidFill>
          </w14:textFill>
        </w:rPr>
        <w:t>份，卖方执</w:t>
      </w:r>
      <w:r>
        <w:rPr>
          <w:rFonts w:hint="eastAsia" w:ascii="宋体" w:hAnsi="宋体" w:cs="宋体"/>
          <w:color w:val="000000" w:themeColor="text1"/>
          <w:sz w:val="24"/>
          <w:szCs w:val="24"/>
          <w:u w:val="single"/>
          <w14:textFill>
            <w14:solidFill>
              <w14:schemeClr w14:val="tx1"/>
            </w14:solidFill>
          </w14:textFill>
        </w:rPr>
        <w:t>贰</w:t>
      </w:r>
      <w:r>
        <w:rPr>
          <w:rFonts w:hint="eastAsia" w:ascii="宋体" w:hAnsi="宋体" w:cs="宋体"/>
          <w:color w:val="000000" w:themeColor="text1"/>
          <w:sz w:val="24"/>
          <w:szCs w:val="24"/>
          <w14:textFill>
            <w14:solidFill>
              <w14:schemeClr w14:val="tx1"/>
            </w14:solidFill>
          </w14:textFill>
        </w:rPr>
        <w:t>份，送厦门市财政局政府采购监管处备案壹份，具有同等法律效力。</w:t>
      </w:r>
    </w:p>
    <w:p w14:paraId="6115429F">
      <w:pPr>
        <w:spacing w:line="360" w:lineRule="auto"/>
        <w:jc w:val="center"/>
        <w:rPr>
          <w:rFonts w:hint="eastAsia" w:ascii="宋体" w:hAnsi="宋体"/>
          <w:color w:val="000000" w:themeColor="text1"/>
          <w:sz w:val="24"/>
          <w:szCs w:val="24"/>
          <w14:textFill>
            <w14:solidFill>
              <w14:schemeClr w14:val="tx1"/>
            </w14:solidFill>
          </w14:textFill>
        </w:rPr>
      </w:pPr>
    </w:p>
    <w:p w14:paraId="3F811129">
      <w:pPr>
        <w:spacing w:line="360" w:lineRule="auto"/>
        <w:jc w:val="center"/>
        <w:rPr>
          <w:rFonts w:hint="eastAsia" w:ascii="宋体" w:hAnsi="宋体"/>
          <w:color w:val="000000" w:themeColor="text1"/>
          <w:sz w:val="24"/>
          <w:szCs w:val="24"/>
          <w14:textFill>
            <w14:solidFill>
              <w14:schemeClr w14:val="tx1"/>
            </w14:solidFill>
          </w14:textFill>
        </w:rPr>
      </w:pPr>
    </w:p>
    <w:p w14:paraId="23000E3C">
      <w:pPr>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（以下无正文）</w:t>
      </w:r>
    </w:p>
    <w:tbl>
      <w:tblPr>
        <w:tblStyle w:val="11"/>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3DE2E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360CDF17">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买   方</w:t>
            </w:r>
          </w:p>
        </w:tc>
        <w:tc>
          <w:tcPr>
            <w:tcW w:w="3121" w:type="dxa"/>
            <w:vAlign w:val="center"/>
          </w:tcPr>
          <w:p w14:paraId="041A9305">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0DFD2F90">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卖   方</w:t>
            </w:r>
          </w:p>
        </w:tc>
        <w:tc>
          <w:tcPr>
            <w:tcW w:w="3299" w:type="dxa"/>
            <w:vAlign w:val="center"/>
          </w:tcPr>
          <w:p w14:paraId="0F25CFE1">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厦门万翔网络商务有限公司</w:t>
            </w:r>
          </w:p>
        </w:tc>
      </w:tr>
      <w:tr w14:paraId="25B0D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5E43A19E">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单位地址</w:t>
            </w:r>
          </w:p>
        </w:tc>
        <w:tc>
          <w:tcPr>
            <w:tcW w:w="3121" w:type="dxa"/>
            <w:vAlign w:val="center"/>
          </w:tcPr>
          <w:p w14:paraId="305F1AF2">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13C85A87">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单位地址</w:t>
            </w:r>
          </w:p>
        </w:tc>
        <w:tc>
          <w:tcPr>
            <w:tcW w:w="3299" w:type="dxa"/>
            <w:vAlign w:val="center"/>
          </w:tcPr>
          <w:p w14:paraId="47D5CF6B">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厦门市湖里区机场北路476号 </w:t>
            </w:r>
          </w:p>
        </w:tc>
      </w:tr>
      <w:tr w14:paraId="61068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5B03DCB6">
            <w:pPr>
              <w:pStyle w:val="7"/>
              <w:autoSpaceDE w:val="0"/>
              <w:spacing w:line="360" w:lineRule="auto"/>
              <w:jc w:val="center"/>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法定代表人</w:t>
            </w:r>
          </w:p>
        </w:tc>
        <w:tc>
          <w:tcPr>
            <w:tcW w:w="3121" w:type="dxa"/>
            <w:vAlign w:val="center"/>
          </w:tcPr>
          <w:p w14:paraId="5AEFD7BB">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426E5165">
            <w:pPr>
              <w:pStyle w:val="7"/>
              <w:autoSpaceDE w:val="0"/>
              <w:spacing w:line="360" w:lineRule="auto"/>
              <w:jc w:val="center"/>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法定代表人</w:t>
            </w:r>
          </w:p>
        </w:tc>
        <w:tc>
          <w:tcPr>
            <w:tcW w:w="3299" w:type="dxa"/>
            <w:vAlign w:val="center"/>
          </w:tcPr>
          <w:p w14:paraId="360116D5">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1ACAA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35F77A3C">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签字代表</w:t>
            </w:r>
          </w:p>
        </w:tc>
        <w:tc>
          <w:tcPr>
            <w:tcW w:w="3121" w:type="dxa"/>
            <w:vAlign w:val="center"/>
          </w:tcPr>
          <w:p w14:paraId="25986BE6">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523679C0">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签字代表</w:t>
            </w:r>
          </w:p>
        </w:tc>
        <w:tc>
          <w:tcPr>
            <w:tcW w:w="3299" w:type="dxa"/>
            <w:vAlign w:val="center"/>
          </w:tcPr>
          <w:p w14:paraId="659BAFA0">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4D9EC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092A7F88">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电    话</w:t>
            </w:r>
          </w:p>
        </w:tc>
        <w:tc>
          <w:tcPr>
            <w:tcW w:w="3121" w:type="dxa"/>
            <w:vAlign w:val="center"/>
          </w:tcPr>
          <w:p w14:paraId="0F8C3B06">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799C107D">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电   话</w:t>
            </w:r>
          </w:p>
        </w:tc>
        <w:tc>
          <w:tcPr>
            <w:tcW w:w="3299" w:type="dxa"/>
            <w:vAlign w:val="center"/>
          </w:tcPr>
          <w:p w14:paraId="66E8E41D">
            <w:pPr>
              <w:pStyle w:val="9"/>
              <w:widowControl w:val="0"/>
              <w:snapToGrid w:val="0"/>
              <w:spacing w:before="0" w:beforeAutospacing="0" w:after="0" w:afterAutospacing="0"/>
              <w:rPr>
                <w:rFonts w:hint="eastAsia" w:cs="Times New Roman"/>
                <w:color w:val="000000" w:themeColor="text1"/>
                <w14:textFill>
                  <w14:solidFill>
                    <w14:schemeClr w14:val="tx1"/>
                  </w14:solidFill>
                </w14:textFill>
              </w:rPr>
            </w:pPr>
          </w:p>
        </w:tc>
      </w:tr>
      <w:tr w14:paraId="02E51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6DFB3EEE">
            <w:pPr>
              <w:pStyle w:val="7"/>
              <w:autoSpaceDE w:val="0"/>
              <w:spacing w:line="360" w:lineRule="auto"/>
              <w:jc w:val="center"/>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开户行</w:t>
            </w:r>
          </w:p>
        </w:tc>
        <w:tc>
          <w:tcPr>
            <w:tcW w:w="3121" w:type="dxa"/>
            <w:vAlign w:val="center"/>
          </w:tcPr>
          <w:p w14:paraId="43FEE081">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3C4CD5F4">
            <w:pPr>
              <w:pStyle w:val="7"/>
              <w:autoSpaceDE w:val="0"/>
              <w:spacing w:line="360" w:lineRule="auto"/>
              <w:jc w:val="center"/>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开户行</w:t>
            </w:r>
          </w:p>
        </w:tc>
        <w:tc>
          <w:tcPr>
            <w:tcW w:w="3299" w:type="dxa"/>
            <w:vAlign w:val="center"/>
          </w:tcPr>
          <w:p w14:paraId="5155FE18">
            <w:pPr>
              <w:pStyle w:val="9"/>
              <w:widowControl w:val="0"/>
              <w:snapToGrid w:val="0"/>
              <w:spacing w:before="0" w:beforeAutospacing="0" w:after="0" w:afterAutospacing="0"/>
              <w:rPr>
                <w:rFonts w:hint="eastAsia" w:cs="Times New Roman"/>
                <w:color w:val="000000" w:themeColor="text1"/>
                <w:szCs w:val="18"/>
                <w14:textFill>
                  <w14:solidFill>
                    <w14:schemeClr w14:val="tx1"/>
                  </w14:solidFill>
                </w14:textFill>
              </w:rPr>
            </w:pPr>
            <w:r>
              <w:rPr>
                <w:rFonts w:hint="eastAsia"/>
                <w:color w:val="000000" w:themeColor="text1"/>
                <w14:textFill>
                  <w14:solidFill>
                    <w14:schemeClr w14:val="tx1"/>
                  </w14:solidFill>
                </w14:textFill>
              </w:rPr>
              <w:t>中国建设银行股份有限公司厦门自贸试验区航空港支行</w:t>
            </w:r>
          </w:p>
        </w:tc>
      </w:tr>
      <w:tr w14:paraId="3CC8D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72220E8F">
            <w:pPr>
              <w:pStyle w:val="7"/>
              <w:autoSpaceDE w:val="0"/>
              <w:spacing w:line="360" w:lineRule="auto"/>
              <w:jc w:val="center"/>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pacing w:val="20"/>
                <w:kern w:val="0"/>
                <w:sz w:val="24"/>
                <w:szCs w:val="24"/>
                <w14:textFill>
                  <w14:solidFill>
                    <w14:schemeClr w14:val="tx1"/>
                  </w14:solidFill>
                </w14:textFill>
              </w:rPr>
              <w:t>账  号</w:t>
            </w:r>
          </w:p>
        </w:tc>
        <w:tc>
          <w:tcPr>
            <w:tcW w:w="3121" w:type="dxa"/>
            <w:vAlign w:val="center"/>
          </w:tcPr>
          <w:p w14:paraId="10F7018E">
            <w:pPr>
              <w:pStyle w:val="7"/>
              <w:rPr>
                <w:rFonts w:hint="eastAsia" w:ascii="宋体" w:hAnsi="宋体"/>
                <w:color w:val="000000" w:themeColor="text1"/>
                <w:kern w:val="0"/>
                <w:sz w:val="24"/>
                <w14:textFill>
                  <w14:solidFill>
                    <w14:schemeClr w14:val="tx1"/>
                  </w14:solidFill>
                </w14:textFill>
              </w:rPr>
            </w:pPr>
          </w:p>
        </w:tc>
        <w:tc>
          <w:tcPr>
            <w:tcW w:w="1486" w:type="dxa"/>
            <w:vAlign w:val="center"/>
          </w:tcPr>
          <w:p w14:paraId="361BED72">
            <w:pPr>
              <w:pStyle w:val="7"/>
              <w:autoSpaceDE w:val="0"/>
              <w:spacing w:line="360" w:lineRule="auto"/>
              <w:jc w:val="center"/>
              <w:rPr>
                <w:rFonts w:hint="eastAsia" w:ascii="宋体" w:hAnsi="宋体"/>
                <w:b/>
                <w:bCs/>
                <w:color w:val="000000" w:themeColor="text1"/>
                <w:sz w:val="24"/>
                <w:szCs w:val="24"/>
                <w14:textFill>
                  <w14:solidFill>
                    <w14:schemeClr w14:val="tx1"/>
                  </w14:solidFill>
                </w14:textFill>
              </w:rPr>
            </w:pPr>
            <w:r>
              <w:rPr>
                <w:rFonts w:hint="eastAsia" w:ascii="宋体" w:hAnsi="宋体"/>
                <w:b/>
                <w:bCs/>
                <w:color w:val="000000" w:themeColor="text1"/>
                <w:spacing w:val="20"/>
                <w:kern w:val="0"/>
                <w:sz w:val="24"/>
                <w:szCs w:val="24"/>
                <w14:textFill>
                  <w14:solidFill>
                    <w14:schemeClr w14:val="tx1"/>
                  </w14:solidFill>
                </w14:textFill>
              </w:rPr>
              <w:t>账  号</w:t>
            </w:r>
          </w:p>
        </w:tc>
        <w:tc>
          <w:tcPr>
            <w:tcW w:w="3299" w:type="dxa"/>
            <w:vAlign w:val="center"/>
          </w:tcPr>
          <w:p w14:paraId="416C5D77">
            <w:pPr>
              <w:pStyle w:val="9"/>
              <w:widowControl w:val="0"/>
              <w:snapToGrid w:val="0"/>
              <w:spacing w:before="0" w:beforeAutospacing="0" w:after="0" w:afterAutospacing="0"/>
              <w:rPr>
                <w:rFonts w:hint="eastAsia" w:cs="Times New Roman"/>
                <w:color w:val="000000" w:themeColor="text1"/>
                <w:szCs w:val="18"/>
                <w14:textFill>
                  <w14:solidFill>
                    <w14:schemeClr w14:val="tx1"/>
                  </w14:solidFill>
                </w14:textFill>
              </w:rPr>
            </w:pPr>
            <w:r>
              <w:rPr>
                <w:rFonts w:hint="eastAsia"/>
                <w:color w:val="000000" w:themeColor="text1"/>
                <w14:textFill>
                  <w14:solidFill>
                    <w14:schemeClr w14:val="tx1"/>
                  </w14:solidFill>
                </w14:textFill>
              </w:rPr>
              <w:t xml:space="preserve">35101570201052503924  </w:t>
            </w:r>
          </w:p>
        </w:tc>
      </w:tr>
      <w:tr w14:paraId="5519A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4F9F883F">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签订日期</w:t>
            </w:r>
          </w:p>
        </w:tc>
        <w:tc>
          <w:tcPr>
            <w:tcW w:w="3121" w:type="dxa"/>
            <w:vAlign w:val="center"/>
          </w:tcPr>
          <w:p w14:paraId="5DC160F8">
            <w:pPr>
              <w:pStyle w:val="7"/>
              <w:autoSpaceDE w:val="0"/>
              <w:spacing w:line="360" w:lineRule="auto"/>
              <w:rPr>
                <w:rFonts w:hint="eastAsia" w:ascii="宋体" w:hAnsi="宋体"/>
                <w:color w:val="000000" w:themeColor="text1"/>
                <w:sz w:val="24"/>
                <w:szCs w:val="24"/>
                <w14:textFill>
                  <w14:solidFill>
                    <w14:schemeClr w14:val="tx1"/>
                  </w14:solidFill>
                </w14:textFill>
              </w:rPr>
            </w:pPr>
          </w:p>
        </w:tc>
        <w:tc>
          <w:tcPr>
            <w:tcW w:w="1486" w:type="dxa"/>
            <w:vAlign w:val="center"/>
          </w:tcPr>
          <w:p w14:paraId="29295C0B">
            <w:pPr>
              <w:pStyle w:val="7"/>
              <w:autoSpaceDE w:val="0"/>
              <w:spacing w:line="360" w:lineRule="auto"/>
              <w:jc w:val="center"/>
              <w:rPr>
                <w:rFonts w:hint="eastAsia" w:ascii="宋体" w:hAnsi="宋体"/>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签订日期</w:t>
            </w:r>
          </w:p>
        </w:tc>
        <w:tc>
          <w:tcPr>
            <w:tcW w:w="3299" w:type="dxa"/>
            <w:vAlign w:val="center"/>
          </w:tcPr>
          <w:p w14:paraId="0CDE2AE7">
            <w:pPr>
              <w:pStyle w:val="7"/>
              <w:autoSpaceDE w:val="0"/>
              <w:spacing w:line="360" w:lineRule="auto"/>
              <w:rPr>
                <w:rFonts w:hint="eastAsia" w:ascii="宋体" w:hAnsi="宋体"/>
                <w:color w:val="000000" w:themeColor="text1"/>
                <w:sz w:val="24"/>
                <w:szCs w:val="24"/>
                <w14:textFill>
                  <w14:solidFill>
                    <w14:schemeClr w14:val="tx1"/>
                  </w14:solidFill>
                </w14:textFill>
              </w:rPr>
            </w:pPr>
          </w:p>
        </w:tc>
      </w:tr>
    </w:tbl>
    <w:p w14:paraId="0D8B1AC1">
      <w:pPr>
        <w:pStyle w:val="20"/>
        <w:widowControl/>
        <w:ind w:left="-850" w:leftChars="-405" w:firstLine="561"/>
        <w:rPr>
          <w:rFonts w:ascii="华文楷体" w:hAnsi="华文楷体" w:eastAsia="华文楷体" w:cs="华文楷体"/>
          <w:b/>
          <w:color w:val="000000" w:themeColor="text1"/>
          <w:sz w:val="28"/>
          <w:szCs w:val="28"/>
          <w14:textFill>
            <w14:solidFill>
              <w14:schemeClr w14:val="tx1"/>
            </w14:solidFill>
          </w14:textFill>
        </w:rPr>
        <w:sectPr>
          <w:footerReference r:id="rId12" w:type="default"/>
          <w:pgSz w:w="11906" w:h="16838"/>
          <w:pgMar w:top="1440" w:right="1800" w:bottom="1440" w:left="1800" w:header="851" w:footer="992" w:gutter="0"/>
          <w:cols w:space="720" w:num="1"/>
          <w:docGrid w:type="lines" w:linePitch="312" w:charSpace="0"/>
        </w:sectPr>
      </w:pPr>
    </w:p>
    <w:p w14:paraId="3CBA2FA9">
      <w:pPr>
        <w:pStyle w:val="20"/>
        <w:widowControl/>
        <w:ind w:left="-850" w:leftChars="-405" w:firstLine="561"/>
        <w:rPr>
          <w:rFonts w:cs="宋体"/>
          <w:color w:val="000000" w:themeColor="text1"/>
          <w:sz w:val="24"/>
          <w:szCs w:val="24"/>
          <w14:textFill>
            <w14:solidFill>
              <w14:schemeClr w14:val="tx1"/>
            </w14:solidFill>
          </w14:textFill>
        </w:rPr>
      </w:pPr>
      <w:bookmarkStart w:id="48" w:name="OLE_LINK40"/>
      <w:r>
        <w:rPr>
          <w:rFonts w:hint="default" w:ascii="华文楷体" w:hAnsi="华文楷体" w:eastAsia="华文楷体" w:cs="华文楷体"/>
          <w:b/>
          <w:color w:val="000000" w:themeColor="text1"/>
          <w:sz w:val="28"/>
          <w:szCs w:val="28"/>
          <w14:textFill>
            <w14:solidFill>
              <w14:schemeClr w14:val="tx1"/>
            </w14:solidFill>
          </w14:textFill>
        </w:rPr>
        <w:t>附件</w:t>
      </w:r>
      <w:r>
        <w:rPr>
          <w:rFonts w:ascii="华文楷体" w:hAnsi="华文楷体" w:eastAsia="华文楷体" w:cs="华文楷体"/>
          <w:b/>
          <w:color w:val="000000" w:themeColor="text1"/>
          <w:sz w:val="28"/>
          <w:szCs w:val="28"/>
          <w14:textFill>
            <w14:solidFill>
              <w14:schemeClr w14:val="tx1"/>
            </w14:solidFill>
          </w14:textFill>
        </w:rPr>
        <w:t>1</w:t>
      </w:r>
      <w:r>
        <w:rPr>
          <w:rFonts w:hint="default" w:ascii="华文楷体" w:hAnsi="华文楷体" w:eastAsia="华文楷体" w:cs="华文楷体"/>
          <w:b/>
          <w:color w:val="000000" w:themeColor="text1"/>
          <w:sz w:val="28"/>
          <w:szCs w:val="28"/>
          <w14:textFill>
            <w14:solidFill>
              <w14:schemeClr w14:val="tx1"/>
            </w14:solidFill>
          </w14:textFill>
        </w:rPr>
        <w:t>：供货清单</w:t>
      </w:r>
    </w:p>
    <w:bookmarkEnd w:id="48"/>
    <w:p w14:paraId="5649C771">
      <w:pPr>
        <w:pStyle w:val="21"/>
        <w:rPr>
          <w:rFonts w:hint="eastAsia" w:ascii="宋体" w:hAnsi="宋体" w:cs="宋体"/>
          <w:color w:val="000000" w:themeColor="text1"/>
          <w:sz w:val="24"/>
          <w:szCs w:val="24"/>
          <w14:textFill>
            <w14:solidFill>
              <w14:schemeClr w14:val="tx1"/>
            </w14:solidFill>
          </w14:textFill>
        </w:rPr>
      </w:pPr>
    </w:p>
    <w:tbl>
      <w:tblPr>
        <w:tblStyle w:val="12"/>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65BC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vAlign w:val="center"/>
          </w:tcPr>
          <w:p w14:paraId="0E207970">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序号</w:t>
            </w:r>
          </w:p>
        </w:tc>
        <w:tc>
          <w:tcPr>
            <w:tcW w:w="1272" w:type="dxa"/>
            <w:vAlign w:val="center"/>
          </w:tcPr>
          <w:p w14:paraId="5ABC0C69">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名  称</w:t>
            </w:r>
          </w:p>
        </w:tc>
        <w:tc>
          <w:tcPr>
            <w:tcW w:w="821" w:type="dxa"/>
            <w:vAlign w:val="center"/>
          </w:tcPr>
          <w:p w14:paraId="6542BC38">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数量</w:t>
            </w:r>
          </w:p>
        </w:tc>
        <w:tc>
          <w:tcPr>
            <w:tcW w:w="994" w:type="dxa"/>
            <w:vAlign w:val="center"/>
          </w:tcPr>
          <w:p w14:paraId="3FFB5065">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原产地</w:t>
            </w:r>
          </w:p>
        </w:tc>
        <w:tc>
          <w:tcPr>
            <w:tcW w:w="1445" w:type="dxa"/>
            <w:vAlign w:val="center"/>
          </w:tcPr>
          <w:p w14:paraId="3499FDEE">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制  造  商</w:t>
            </w:r>
          </w:p>
        </w:tc>
        <w:tc>
          <w:tcPr>
            <w:tcW w:w="2977" w:type="dxa"/>
            <w:vAlign w:val="center"/>
          </w:tcPr>
          <w:p w14:paraId="6965E8FE">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规   格   型   号</w:t>
            </w:r>
          </w:p>
        </w:tc>
        <w:tc>
          <w:tcPr>
            <w:tcW w:w="1276" w:type="dxa"/>
            <w:vAlign w:val="center"/>
          </w:tcPr>
          <w:p w14:paraId="14A00CAA">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单价（元）</w:t>
            </w:r>
          </w:p>
        </w:tc>
        <w:tc>
          <w:tcPr>
            <w:tcW w:w="1417" w:type="dxa"/>
          </w:tcPr>
          <w:p w14:paraId="17DA9ED5">
            <w:pPr>
              <w:pStyle w:val="19"/>
              <w:widowControl w:val="0"/>
              <w:spacing w:line="460" w:lineRule="exact"/>
              <w:jc w:val="center"/>
              <w:rPr>
                <w:rFonts w:hint="eastAsia" w:ascii="华文楷体" w:hAnsi="华文楷体" w:eastAsia="华文楷体"/>
                <w:b/>
                <w:color w:val="000000" w:themeColor="text1"/>
                <w:sz w:val="24"/>
                <w:szCs w:val="24"/>
                <w14:textFill>
                  <w14:solidFill>
                    <w14:schemeClr w14:val="tx1"/>
                  </w14:solidFill>
                </w14:textFill>
              </w:rPr>
            </w:pPr>
            <w:r>
              <w:rPr>
                <w:rFonts w:hint="eastAsia" w:ascii="华文楷体" w:hAnsi="华文楷体" w:eastAsia="华文楷体"/>
                <w:b/>
                <w:color w:val="000000" w:themeColor="text1"/>
                <w:sz w:val="24"/>
                <w:szCs w:val="24"/>
                <w14:textFill>
                  <w14:solidFill>
                    <w14:schemeClr w14:val="tx1"/>
                  </w14:solidFill>
                </w14:textFill>
              </w:rPr>
              <w:t>金额（元）</w:t>
            </w:r>
          </w:p>
        </w:tc>
      </w:tr>
      <w:tr w14:paraId="7469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2F8FAFC7">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3D916322">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4CE9961E">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3ED197F7">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08489CB6">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51DEEB81">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60D6AB1D">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72AA7150">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1CF08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386563C3">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4CD9C236">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0DC4156E">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012DEBC9">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1BB0F64D">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53968541">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183E15D6">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25767868">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5766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640FC817">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7F137395">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6C7EB103">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410B2903">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309BBCB2">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61B0100E">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6BD927E3">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5608E322">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0E5C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094EE436">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5CC72144">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095F3F36">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22613644">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2683F459">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55789D89">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4035AB98">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77EDBD6A">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49BD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029248F4">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6D082D3C">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7150C018">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6EDF2481">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245F7389">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4300B36E">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65C3D442">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74F54D6B">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6A48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12479F25">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53348B35">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3C31DA56">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44B819BF">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55E1E899">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2CD3C5DB">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1906772A">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71520B49">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577E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5FE7D9B0">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119293C6">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1594B3F8">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249ACC8F">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02E21CE6">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506AECFB">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47BA20B3">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7D018D9B">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47E0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7442DB13">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3CC17A77">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7E070A16">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0D4D1F50">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7B5FFC3F">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677E9437">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3B742F80">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30538AB3">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2916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72F41E31">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333704FB">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50D4CD14">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5E2F2A59">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114C8601">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10ED4402">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656B5EA3">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03A6D24E">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081EC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1F1AFB0D">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0ED742FF">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36EFF9AA">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39021E3F">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13AC3BD5">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5160034D">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5A30E18A">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4BB49EA9">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69E0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5F384B83">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6F6912EC">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0CAEC15F">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28939610">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1F54BBD2">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02C28D66">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5F07FA71">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274AC668">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0F23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D700DFE">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1D4541D8">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207F0426">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7C1AAB23">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0C61A103">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14D4C529">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31A32EA5">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54373AB8">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42B4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713A593">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12A58269">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530D62E0">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0568B35D">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5952AE78">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753E31DE">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7BE5C992">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2E2C9FBE">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5882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vAlign w:val="center"/>
          </w:tcPr>
          <w:p w14:paraId="417D84BB">
            <w:pPr>
              <w:spacing w:line="460" w:lineRule="exact"/>
              <w:jc w:val="center"/>
              <w:rPr>
                <w:rFonts w:hint="eastAsia" w:ascii="华文楷体" w:hAnsi="华文楷体" w:eastAsia="华文楷体"/>
                <w:color w:val="000000" w:themeColor="text1"/>
                <w:kern w:val="0"/>
                <w:sz w:val="24"/>
                <w14:textFill>
                  <w14:solidFill>
                    <w14:schemeClr w14:val="tx1"/>
                  </w14:solidFill>
                </w14:textFill>
              </w:rPr>
            </w:pPr>
          </w:p>
        </w:tc>
        <w:tc>
          <w:tcPr>
            <w:tcW w:w="1272" w:type="dxa"/>
            <w:vAlign w:val="center"/>
          </w:tcPr>
          <w:p w14:paraId="77EE9BE3">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821" w:type="dxa"/>
            <w:vAlign w:val="center"/>
          </w:tcPr>
          <w:p w14:paraId="4B23434B">
            <w:pPr>
              <w:spacing w:line="460" w:lineRule="exact"/>
              <w:jc w:val="center"/>
              <w:rPr>
                <w:rFonts w:hint="eastAsia" w:ascii="华文楷体" w:hAnsi="华文楷体" w:eastAsia="华文楷体" w:cs="宋体"/>
                <w:color w:val="000000" w:themeColor="text1"/>
                <w:kern w:val="0"/>
                <w:sz w:val="24"/>
                <w14:textFill>
                  <w14:solidFill>
                    <w14:schemeClr w14:val="tx1"/>
                  </w14:solidFill>
                </w14:textFill>
              </w:rPr>
            </w:pPr>
          </w:p>
        </w:tc>
        <w:tc>
          <w:tcPr>
            <w:tcW w:w="994" w:type="dxa"/>
            <w:vAlign w:val="center"/>
          </w:tcPr>
          <w:p w14:paraId="3F709851">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1445" w:type="dxa"/>
            <w:vAlign w:val="center"/>
          </w:tcPr>
          <w:p w14:paraId="598666FB">
            <w:pPr>
              <w:pStyle w:val="19"/>
              <w:widowControl w:val="0"/>
              <w:spacing w:line="460" w:lineRule="exact"/>
              <w:jc w:val="center"/>
              <w:rPr>
                <w:rFonts w:hint="eastAsia" w:ascii="华文楷体" w:hAnsi="华文楷体" w:eastAsia="华文楷体"/>
                <w:color w:val="000000" w:themeColor="text1"/>
                <w:sz w:val="24"/>
                <w:szCs w:val="24"/>
                <w14:textFill>
                  <w14:solidFill>
                    <w14:schemeClr w14:val="tx1"/>
                  </w14:solidFill>
                </w14:textFill>
              </w:rPr>
            </w:pPr>
          </w:p>
        </w:tc>
        <w:tc>
          <w:tcPr>
            <w:tcW w:w="2977" w:type="dxa"/>
            <w:vAlign w:val="center"/>
          </w:tcPr>
          <w:p w14:paraId="6D54B773">
            <w:pPr>
              <w:spacing w:line="460" w:lineRule="exact"/>
              <w:ind w:firstLine="480" w:firstLineChars="200"/>
              <w:rPr>
                <w:rFonts w:hint="eastAsia" w:ascii="华文楷体" w:hAnsi="华文楷体" w:eastAsia="华文楷体" w:cs="宋体"/>
                <w:color w:val="000000" w:themeColor="text1"/>
                <w:kern w:val="0"/>
                <w:sz w:val="24"/>
                <w14:textFill>
                  <w14:solidFill>
                    <w14:schemeClr w14:val="tx1"/>
                  </w14:solidFill>
                </w14:textFill>
              </w:rPr>
            </w:pPr>
          </w:p>
        </w:tc>
        <w:tc>
          <w:tcPr>
            <w:tcW w:w="1276" w:type="dxa"/>
            <w:vAlign w:val="center"/>
          </w:tcPr>
          <w:p w14:paraId="3001E061">
            <w:pPr>
              <w:spacing w:line="460" w:lineRule="exact"/>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736E6B0D">
            <w:pPr>
              <w:jc w:val="center"/>
              <w:rPr>
                <w:rFonts w:hint="eastAsia" w:ascii="华文楷体" w:hAnsi="华文楷体" w:eastAsia="华文楷体" w:cs="宋体"/>
                <w:b/>
                <w:color w:val="000000" w:themeColor="text1"/>
                <w:kern w:val="0"/>
                <w:sz w:val="24"/>
                <w14:textFill>
                  <w14:solidFill>
                    <w14:schemeClr w14:val="tx1"/>
                  </w14:solidFill>
                </w14:textFill>
              </w:rPr>
            </w:pPr>
          </w:p>
        </w:tc>
      </w:tr>
      <w:tr w14:paraId="6090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vAlign w:val="center"/>
          </w:tcPr>
          <w:p w14:paraId="28ABC35B">
            <w:pPr>
              <w:spacing w:line="460" w:lineRule="exact"/>
              <w:rPr>
                <w:rFonts w:hint="eastAsia" w:ascii="华文楷体" w:hAnsi="华文楷体" w:eastAsia="华文楷体"/>
                <w:b/>
                <w:color w:val="000000" w:themeColor="text1"/>
                <w:kern w:val="0"/>
                <w:sz w:val="24"/>
                <w14:textFill>
                  <w14:solidFill>
                    <w14:schemeClr w14:val="tx1"/>
                  </w14:solidFill>
                </w14:textFill>
              </w:rPr>
            </w:pPr>
            <w:r>
              <w:rPr>
                <w:rFonts w:hint="eastAsia" w:ascii="华文楷体" w:hAnsi="华文楷体" w:eastAsia="华文楷体"/>
                <w:b/>
                <w:color w:val="000000" w:themeColor="text1"/>
                <w:kern w:val="0"/>
                <w:sz w:val="24"/>
                <w14:textFill>
                  <w14:solidFill>
                    <w14:schemeClr w14:val="tx1"/>
                  </w14:solidFill>
                </w14:textFill>
              </w:rPr>
              <w:t>合计（元）：</w:t>
            </w:r>
          </w:p>
        </w:tc>
        <w:tc>
          <w:tcPr>
            <w:tcW w:w="1276" w:type="dxa"/>
            <w:vAlign w:val="center"/>
          </w:tcPr>
          <w:p w14:paraId="76C5425D">
            <w:pPr>
              <w:jc w:val="center"/>
              <w:rPr>
                <w:rFonts w:hint="eastAsia" w:ascii="华文楷体" w:hAnsi="华文楷体" w:eastAsia="华文楷体"/>
                <w:b/>
                <w:color w:val="000000" w:themeColor="text1"/>
                <w:kern w:val="0"/>
                <w:sz w:val="24"/>
                <w14:textFill>
                  <w14:solidFill>
                    <w14:schemeClr w14:val="tx1"/>
                  </w14:solidFill>
                </w14:textFill>
              </w:rPr>
            </w:pPr>
          </w:p>
        </w:tc>
        <w:tc>
          <w:tcPr>
            <w:tcW w:w="1417" w:type="dxa"/>
            <w:vAlign w:val="center"/>
          </w:tcPr>
          <w:p w14:paraId="08D82D78">
            <w:pPr>
              <w:jc w:val="center"/>
              <w:rPr>
                <w:rFonts w:hint="eastAsia" w:ascii="华文楷体" w:hAnsi="华文楷体" w:eastAsia="华文楷体"/>
                <w:b/>
                <w:color w:val="000000" w:themeColor="text1"/>
                <w:kern w:val="0"/>
                <w:sz w:val="24"/>
                <w14:textFill>
                  <w14:solidFill>
                    <w14:schemeClr w14:val="tx1"/>
                  </w14:solidFill>
                </w14:textFill>
              </w:rPr>
            </w:pPr>
          </w:p>
        </w:tc>
      </w:tr>
    </w:tbl>
    <w:p w14:paraId="2852F811">
      <w:pPr>
        <w:pStyle w:val="20"/>
        <w:widowControl/>
        <w:ind w:left="-850" w:leftChars="-405" w:firstLine="561"/>
        <w:rPr>
          <w:rFonts w:ascii="华文楷体" w:hAnsi="华文楷体" w:eastAsia="华文楷体" w:cs="华文楷体"/>
          <w:b/>
          <w:color w:val="000000" w:themeColor="text1"/>
          <w:sz w:val="28"/>
          <w:szCs w:val="28"/>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3775CEBE">
      <w:pPr>
        <w:pStyle w:val="20"/>
        <w:widowControl/>
        <w:ind w:left="-850" w:leftChars="-405" w:firstLine="561"/>
        <w:rPr>
          <w:rFonts w:ascii="华文楷体" w:hAnsi="华文楷体" w:eastAsia="华文楷体" w:cs="华文楷体"/>
          <w:b/>
          <w:color w:val="000000" w:themeColor="text1"/>
          <w:sz w:val="28"/>
          <w:szCs w:val="28"/>
          <w14:textFill>
            <w14:solidFill>
              <w14:schemeClr w14:val="tx1"/>
            </w14:solidFill>
          </w14:textFill>
        </w:rPr>
      </w:pPr>
      <w:r>
        <w:rPr>
          <w:rFonts w:hint="default" w:ascii="华文楷体" w:hAnsi="华文楷体" w:eastAsia="华文楷体" w:cs="华文楷体"/>
          <w:b/>
          <w:color w:val="000000" w:themeColor="text1"/>
          <w:sz w:val="28"/>
          <w:szCs w:val="28"/>
          <w14:textFill>
            <w14:solidFill>
              <w14:schemeClr w14:val="tx1"/>
            </w14:solidFill>
          </w14:textFill>
        </w:rPr>
        <w:t>附件</w:t>
      </w:r>
      <w:r>
        <w:rPr>
          <w:rFonts w:ascii="华文楷体" w:hAnsi="华文楷体" w:eastAsia="华文楷体" w:cs="华文楷体"/>
          <w:b/>
          <w:color w:val="000000" w:themeColor="text1"/>
          <w:sz w:val="28"/>
          <w:szCs w:val="28"/>
          <w14:textFill>
            <w14:solidFill>
              <w14:schemeClr w14:val="tx1"/>
            </w14:solidFill>
          </w14:textFill>
        </w:rPr>
        <w:t>2</w:t>
      </w:r>
      <w:r>
        <w:rPr>
          <w:rFonts w:hint="default" w:ascii="华文楷体" w:hAnsi="华文楷体" w:eastAsia="华文楷体" w:cs="华文楷体"/>
          <w:b/>
          <w:color w:val="000000" w:themeColor="text1"/>
          <w:sz w:val="28"/>
          <w:szCs w:val="28"/>
          <w14:textFill>
            <w14:solidFill>
              <w14:schemeClr w14:val="tx1"/>
            </w14:solidFill>
          </w14:textFill>
        </w:rPr>
        <w:t>：</w:t>
      </w:r>
      <w:r>
        <w:rPr>
          <w:rFonts w:ascii="华文楷体" w:hAnsi="华文楷体" w:eastAsia="华文楷体" w:cs="华文楷体"/>
          <w:b/>
          <w:color w:val="000000" w:themeColor="text1"/>
          <w:sz w:val="28"/>
          <w:szCs w:val="28"/>
          <w14:textFill>
            <w14:solidFill>
              <w14:schemeClr w14:val="tx1"/>
            </w14:solidFill>
          </w14:textFill>
        </w:rPr>
        <w:t>厦门市大宗货物政府采购供货验收单</w:t>
      </w:r>
    </w:p>
    <w:p w14:paraId="0CB7D8C3">
      <w:pPr>
        <w:rPr>
          <w:rFonts w:hint="eastAsia" w:ascii="宋体" w:hAnsi="宋体" w:cs="宋体"/>
          <w:color w:val="000000" w:themeColor="text1"/>
          <w:sz w:val="24"/>
          <w:szCs w:val="24"/>
          <w14:textFill>
            <w14:solidFill>
              <w14:schemeClr w14:val="tx1"/>
            </w14:solidFill>
          </w14:textFill>
        </w:rPr>
      </w:pPr>
    </w:p>
    <w:p w14:paraId="4144CFFA">
      <w:pPr>
        <w:pStyle w:val="20"/>
        <w:widowControl/>
        <w:ind w:left="-850" w:leftChars="-405" w:firstLine="723"/>
        <w:rPr>
          <w:rFonts w:cs="宋体"/>
          <w:color w:val="000000" w:themeColor="text1"/>
          <w:sz w:val="24"/>
          <w:szCs w:val="24"/>
          <w14:textFill>
            <w14:solidFill>
              <w14:schemeClr w14:val="tx1"/>
            </w14:solidFill>
          </w14:textFill>
        </w:rPr>
      </w:pPr>
      <w:r>
        <w:rPr>
          <w:b/>
          <w:bCs/>
          <w:color w:val="000000" w:themeColor="text1"/>
          <w:sz w:val="36"/>
          <w:szCs w:val="36"/>
          <w14:textFill>
            <w14:solidFill>
              <w14:schemeClr w14:val="tx1"/>
            </w14:solidFill>
          </w14:textFill>
        </w:rPr>
        <w:drawing>
          <wp:inline distT="0" distB="0" distL="114300" distR="114300">
            <wp:extent cx="5274310" cy="7529195"/>
            <wp:effectExtent l="0" t="0" r="2540" b="14605"/>
            <wp:docPr id="4" name="图片 4"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3921FD0B">
      <w:pPr>
        <w:rPr>
          <w:color w:val="000000" w:themeColor="text1"/>
          <w14:textFill>
            <w14:solidFill>
              <w14:schemeClr w14:val="tx1"/>
            </w14:solidFill>
          </w14:textFill>
        </w:rPr>
      </w:pPr>
    </w:p>
    <w:p w14:paraId="3262CF07"/>
    <w:sectPr>
      <w:footerReference r:id="rId1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panose1 w:val="020B0504020202030204"/>
    <w:charset w:val="00"/>
    <w:family w:val="swiss"/>
    <w:pitch w:val="default"/>
    <w:sig w:usb0="00000007"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1F244">
    <w:pPr>
      <w:pStyle w:val="7"/>
      <w:rPr>
        <w:rFonts w:hint="eastAsia"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4AC0D">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2C239">
    <w:pPr>
      <w:pStyle w:val="7"/>
      <w:rPr>
        <w:rFonts w:hint="eastAsia"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4</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1AA52">
    <w:pPr>
      <w:pStyle w:val="7"/>
      <w:jc w:val="center"/>
      <w:rPr>
        <w:rFonts w:hint="eastAsia" w:ascii="宋体" w:hAnsi="宋体"/>
      </w:rPr>
    </w:pPr>
    <w:r>
      <w:rPr>
        <w:rStyle w:val="15"/>
        <w:rFonts w:ascii="宋体" w:hAnsi="宋体"/>
        <w:szCs w:val="20"/>
      </w:rPr>
      <w:t>2-1-</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33</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33C7">
    <w:pPr>
      <w:pStyle w:val="7"/>
      <w:tabs>
        <w:tab w:val="right" w:pos="8460"/>
        <w:tab w:val="clear" w:pos="8306"/>
      </w:tabs>
      <w:ind w:right="-89" w:firstLine="420"/>
      <w:jc w:val="center"/>
      <w:rPr>
        <w:rFonts w:hint="eastAsia" w:ascii="宋体" w:hAnsi="宋体"/>
      </w:rPr>
    </w:pPr>
    <w:r>
      <w:rPr>
        <w:rFonts w:ascii="宋体" w:hAnsi="宋体"/>
        <w:szCs w:val="20"/>
      </w:rPr>
      <w:t xml:space="preserve"> 3-</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45</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74B27">
    <w:pPr>
      <w:pStyle w:val="7"/>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7</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B9DF4">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13</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F5D51">
    <w:pPr>
      <w:pStyle w:val="7"/>
      <w:tabs>
        <w:tab w:val="right" w:pos="8460"/>
        <w:tab w:val="clear" w:pos="8306"/>
      </w:tabs>
      <w:ind w:right="-89" w:firstLine="420"/>
      <w:jc w:val="center"/>
      <w:rPr>
        <w:rFonts w:hint="eastAsia"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14</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F64A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020C7">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4D5F1">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686DA"/>
    <w:multiLevelType w:val="singleLevel"/>
    <w:tmpl w:val="AFB686DA"/>
    <w:lvl w:ilvl="0" w:tentative="0">
      <w:start w:val="7"/>
      <w:numFmt w:val="decimal"/>
      <w:suff w:val="nothing"/>
      <w:lvlText w:val="（%1）"/>
      <w:lvlJc w:val="left"/>
    </w:lvl>
  </w:abstractNum>
  <w:abstractNum w:abstractNumId="1">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B26F972"/>
    <w:multiLevelType w:val="singleLevel"/>
    <w:tmpl w:val="3B26F972"/>
    <w:lvl w:ilvl="0" w:tentative="0">
      <w:start w:val="1"/>
      <w:numFmt w:val="decimal"/>
      <w:lvlText w:val="%1."/>
      <w:lvlJc w:val="left"/>
      <w:pPr>
        <w:tabs>
          <w:tab w:val="left" w:pos="312"/>
        </w:tabs>
      </w:pPr>
    </w:lvl>
  </w:abstractNum>
  <w:abstractNum w:abstractNumId="3">
    <w:nsid w:val="578C1046"/>
    <w:multiLevelType w:val="singleLevel"/>
    <w:tmpl w:val="578C1046"/>
    <w:lvl w:ilvl="0" w:tentative="0">
      <w:start w:val="1"/>
      <w:numFmt w:val="decimal"/>
      <w:lvlText w:val="%1."/>
      <w:lvlJc w:val="left"/>
      <w:pPr>
        <w:tabs>
          <w:tab w:val="left" w:pos="312"/>
        </w:tabs>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E02820"/>
    <w:rsid w:val="60A31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2"/>
    <w:basedOn w:val="4"/>
    <w:next w:val="1"/>
    <w:qFormat/>
    <w:uiPriority w:val="0"/>
    <w:pPr>
      <w:ind w:firstLine="420" w:firstLineChars="200"/>
    </w:pPr>
  </w:style>
  <w:style w:type="table" w:styleId="12">
    <w:name w:val="Table Grid"/>
    <w:basedOn w:val="1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4">
    <w:name w:val="Strong"/>
    <w:basedOn w:val="13"/>
    <w:qFormat/>
    <w:uiPriority w:val="22"/>
    <w:rPr>
      <w:b/>
      <w:bCs/>
    </w:rPr>
  </w:style>
  <w:style w:type="character" w:styleId="15">
    <w:name w:val="page number"/>
    <w:basedOn w:val="13"/>
    <w:qFormat/>
    <w:uiPriority w:val="0"/>
  </w:style>
  <w:style w:type="character" w:styleId="16">
    <w:name w:val="annotation reference"/>
    <w:basedOn w:val="13"/>
    <w:semiHidden/>
    <w:unhideWhenUsed/>
    <w:qFormat/>
    <w:uiPriority w:val="99"/>
    <w:rPr>
      <w:sz w:val="21"/>
      <w:szCs w:val="21"/>
    </w:rPr>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Table Text"/>
    <w:basedOn w:val="1"/>
    <w:semiHidden/>
    <w:qFormat/>
    <w:uiPriority w:val="0"/>
    <w:rPr>
      <w:rFonts w:ascii="宋体" w:hAnsi="宋体" w:cs="宋体"/>
      <w:sz w:val="28"/>
      <w:szCs w:val="28"/>
      <w:lang w:eastAsia="en-US"/>
    </w:rPr>
  </w:style>
  <w:style w:type="paragraph" w:customStyle="1" w:styleId="19">
    <w:name w:val="正文（绿盟科技）"/>
    <w:basedOn w:val="1"/>
    <w:qFormat/>
    <w:uiPriority w:val="0"/>
    <w:pPr>
      <w:widowControl/>
      <w:spacing w:line="300" w:lineRule="auto"/>
      <w:jc w:val="left"/>
    </w:pPr>
    <w:rPr>
      <w:rFonts w:ascii="Arial" w:hAnsi="Arial"/>
      <w:kern w:val="0"/>
      <w:szCs w:val="21"/>
    </w:rPr>
  </w:style>
  <w:style w:type="paragraph" w:customStyle="1" w:styleId="20">
    <w:name w:val="*正文"/>
    <w:basedOn w:val="1"/>
    <w:qFormat/>
    <w:uiPriority w:val="0"/>
    <w:pPr>
      <w:spacing w:line="360" w:lineRule="auto"/>
      <w:ind w:firstLine="200" w:firstLineChars="200"/>
    </w:pPr>
    <w:rPr>
      <w:rFonts w:hint="eastAsia" w:ascii="宋体" w:hAnsi="宋体"/>
      <w:sz w:val="22"/>
    </w:rPr>
  </w:style>
  <w:style w:type="paragraph" w:customStyle="1" w:styleId="21">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97</Pages>
  <Words>11693</Words>
  <Characters>12854</Characters>
  <Lines>0</Lines>
  <Paragraphs>0</Paragraphs>
  <TotalTime>6</TotalTime>
  <ScaleCrop>false</ScaleCrop>
  <LinksUpToDate>false</LinksUpToDate>
  <CharactersWithSpaces>13103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2026-07-23T07:07:00Z</dcterms:created>
  <dc:creator>Dell</dc:creator>
  <cp:lastModifiedBy>陈</cp:lastModifiedBy>
  <dcterms:modified xsi:type="dcterms:W3CDTF">2026-07-23T07:23:20Z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EE137ED06F224732B626943112B567B8_12</vt:lpwstr>
  </property>
</Properties>
</file>